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sdt>
      <w:sdtPr>
        <w:rPr>
          <w:rFonts w:ascii="宋体" w:hAnsi="宋体" w:eastAsia="宋体"/>
          <w:sz w:val="21"/>
          <w:szCs w:val="24"/>
          <w:lang w:val="en-US" w:eastAsia="uk-UA" w:bidi="ar-SA"/>
        </w:rPr>
        <w:id w:val="147463340"/>
        <w:docPartObj>
          <w:docPartGallery w:val="Table of Contents"/>
          <w:docPartUnique/>
        </w:docPartObj>
      </w:sdtPr>
      <w:sdtEndPr>
        <w:rPr>
          <w:sz w:val="20"/>
          <w:szCs w:val="20"/>
        </w:rPr>
      </w:sdtEndPr>
      <w:sdtContent>
        <w:p>
          <w:pPr>
            <w:spacing w:before="0" w:beforeLines="0" w:after="0" w:afterLines="0" w:line="240" w:lineRule="auto"/>
            <w:ind w:left="0" w:leftChars="0" w:right="0" w:rightChars="0" w:firstLine="0" w:firstLineChars="0"/>
            <w:jc w:val="center"/>
          </w:pPr>
          <w:bookmarkStart w:id="0" w:name="_Toc21160_WPSOffice_Type1"/>
        </w:p>
        <w:p>
          <w:pPr>
            <w:pStyle w:val="22"/>
            <w:tabs>
              <w:tab w:val="right" w:leader="dot" w:pos="14800"/>
            </w:tabs>
          </w:pPr>
          <w:r>
            <w:fldChar w:fldCharType="begin"/>
          </w:r>
          <w:r>
            <w:instrText xml:space="preserve"> HYPERLINK \l _Toc2354_WPSOffice_Level1 </w:instrText>
          </w:r>
          <w:r>
            <w:fldChar w:fldCharType="separate"/>
          </w:r>
          <w:sdt>
            <w:sdtPr>
              <w:rPr>
                <w:rFonts w:ascii="Times New Roman" w:hAnsi="Times New Roman" w:eastAsia="Times New Roman"/>
                <w:sz w:val="24"/>
                <w:szCs w:val="24"/>
                <w:lang w:val="en-US" w:eastAsia="uk-UA" w:bidi="ar-SA"/>
              </w:rPr>
              <w:id w:val="147463340"/>
              <w:placeholder>
                <w:docPart w:val="{7921c112-ee28-4dec-87a8-971bbcbb33de}"/>
              </w:placeholder>
            </w:sdtPr>
            <w:sdtEndPr>
              <w:rPr>
                <w:rFonts w:ascii="Times New Roman" w:hAnsi="Times New Roman" w:eastAsia="Times New Roman"/>
                <w:sz w:val="24"/>
                <w:szCs w:val="24"/>
                <w:lang w:val="en-US" w:eastAsia="uk-UA" w:bidi="ar-SA"/>
              </w:rPr>
            </w:sdtEndPr>
            <w:sdtContent>
              <w:r>
                <w:rPr>
                  <w:rFonts w:ascii="方正小标宋_GBK" w:hAnsi="方正小标宋_GBK" w:eastAsia="方正小标宋_GBK" w:cs="方正小标宋_GBK"/>
                </w:rPr>
                <w:t>唐山高新技术创业中心（本级）收支预算</w:t>
              </w:r>
            </w:sdtContent>
          </w:sdt>
          <w:r>
            <w:tab/>
          </w:r>
          <w:bookmarkStart w:id="1" w:name="_Toc2354_WPSOffice_Level1Page"/>
          <w:r>
            <w:t>1</w:t>
          </w:r>
          <w:bookmarkEnd w:id="1"/>
          <w:r>
            <w:fldChar w:fldCharType="end"/>
          </w:r>
        </w:p>
        <w:p>
          <w:pPr>
            <w:pStyle w:val="22"/>
            <w:tabs>
              <w:tab w:val="right" w:leader="dot" w:pos="14800"/>
            </w:tabs>
          </w:pPr>
          <w:r>
            <w:fldChar w:fldCharType="begin"/>
          </w:r>
          <w:r>
            <w:instrText xml:space="preserve"> HYPERLINK \l _Toc21160_WPSOffice_Level1 </w:instrText>
          </w:r>
          <w:r>
            <w:fldChar w:fldCharType="separate"/>
          </w:r>
          <w:sdt>
            <w:sdtPr>
              <w:rPr>
                <w:rFonts w:ascii="Times New Roman" w:hAnsi="Times New Roman" w:eastAsia="Times New Roman"/>
                <w:sz w:val="24"/>
                <w:szCs w:val="24"/>
                <w:lang w:val="en-US" w:eastAsia="uk-UA" w:bidi="ar-SA"/>
              </w:rPr>
              <w:id w:val="147463340"/>
              <w:placeholder>
                <w:docPart w:val="{ec9f9bf6-1aa5-40e6-9584-39c8745e92e5}"/>
              </w:placeholder>
            </w:sdtPr>
            <w:sdtEndPr>
              <w:rPr>
                <w:rFonts w:ascii="Times New Roman" w:hAnsi="Times New Roman" w:eastAsia="Times New Roman"/>
                <w:sz w:val="24"/>
                <w:szCs w:val="24"/>
                <w:lang w:val="en-US" w:eastAsia="uk-UA" w:bidi="ar-SA"/>
              </w:rPr>
            </w:sdtEndPr>
            <w:sdtContent>
              <w:r>
                <w:rPr>
                  <w:rFonts w:ascii="方正小标宋_GBK" w:hAnsi="方正小标宋_GBK" w:eastAsia="方正小标宋_GBK" w:cs="方正小标宋_GBK"/>
                </w:rPr>
                <w:t>单位预算收支总表</w:t>
              </w:r>
            </w:sdtContent>
          </w:sdt>
          <w:r>
            <w:tab/>
          </w:r>
          <w:bookmarkStart w:id="2" w:name="_Toc21160_WPSOffice_Level1Page"/>
          <w:r>
            <w:t>1</w:t>
          </w:r>
          <w:bookmarkEnd w:id="2"/>
          <w:r>
            <w:fldChar w:fldCharType="end"/>
          </w:r>
        </w:p>
        <w:p>
          <w:pPr>
            <w:pStyle w:val="22"/>
            <w:tabs>
              <w:tab w:val="right" w:leader="dot" w:pos="14800"/>
            </w:tabs>
          </w:pPr>
          <w:r>
            <w:fldChar w:fldCharType="begin"/>
          </w:r>
          <w:r>
            <w:instrText xml:space="preserve"> HYPERLINK \l _Toc29191_WPSOffice_Level1 </w:instrText>
          </w:r>
          <w:r>
            <w:fldChar w:fldCharType="separate"/>
          </w:r>
          <w:sdt>
            <w:sdtPr>
              <w:rPr>
                <w:rFonts w:ascii="Times New Roman" w:hAnsi="Times New Roman" w:eastAsia="Times New Roman"/>
                <w:sz w:val="24"/>
                <w:szCs w:val="24"/>
                <w:lang w:val="en-US" w:eastAsia="uk-UA" w:bidi="ar-SA"/>
              </w:rPr>
              <w:id w:val="147463340"/>
              <w:placeholder>
                <w:docPart w:val="{80da1180-7fbd-4552-9d38-8fcc29e72383}"/>
              </w:placeholder>
            </w:sdtPr>
            <w:sdtEndPr>
              <w:rPr>
                <w:rFonts w:ascii="Times New Roman" w:hAnsi="Times New Roman" w:eastAsia="Times New Roman"/>
                <w:sz w:val="24"/>
                <w:szCs w:val="24"/>
                <w:lang w:val="en-US" w:eastAsia="uk-UA" w:bidi="ar-SA"/>
              </w:rPr>
            </w:sdtEndPr>
            <w:sdtContent>
              <w:r>
                <w:rPr>
                  <w:rFonts w:ascii="方正小标宋_GBK" w:hAnsi="方正小标宋_GBK" w:eastAsia="方正小标宋_GBK" w:cs="方正小标宋_GBK"/>
                </w:rPr>
                <w:t>单位预算收入总表</w:t>
              </w:r>
            </w:sdtContent>
          </w:sdt>
          <w:r>
            <w:tab/>
          </w:r>
          <w:bookmarkStart w:id="3" w:name="_Toc29191_WPSOffice_Level1Page"/>
          <w:r>
            <w:t>4</w:t>
          </w:r>
          <w:bookmarkEnd w:id="3"/>
          <w:r>
            <w:fldChar w:fldCharType="end"/>
          </w:r>
        </w:p>
        <w:p>
          <w:pPr>
            <w:pStyle w:val="22"/>
            <w:tabs>
              <w:tab w:val="right" w:leader="dot" w:pos="14800"/>
            </w:tabs>
          </w:pPr>
          <w:r>
            <w:fldChar w:fldCharType="begin"/>
          </w:r>
          <w:r>
            <w:instrText xml:space="preserve"> HYPERLINK \l _Toc20097_WPSOffice_Level1 </w:instrText>
          </w:r>
          <w:r>
            <w:fldChar w:fldCharType="separate"/>
          </w:r>
          <w:sdt>
            <w:sdtPr>
              <w:rPr>
                <w:rFonts w:ascii="Times New Roman" w:hAnsi="Times New Roman" w:eastAsia="Times New Roman"/>
                <w:sz w:val="24"/>
                <w:szCs w:val="24"/>
                <w:lang w:val="en-US" w:eastAsia="uk-UA" w:bidi="ar-SA"/>
              </w:rPr>
              <w:id w:val="147463340"/>
              <w:placeholder>
                <w:docPart w:val="{0b3429ef-117a-4c12-ae19-180bf1ebe5fb}"/>
              </w:placeholder>
            </w:sdtPr>
            <w:sdtEndPr>
              <w:rPr>
                <w:rFonts w:ascii="Times New Roman" w:hAnsi="Times New Roman" w:eastAsia="Times New Roman"/>
                <w:sz w:val="24"/>
                <w:szCs w:val="24"/>
                <w:lang w:val="en-US" w:eastAsia="uk-UA" w:bidi="ar-SA"/>
              </w:rPr>
            </w:sdtEndPr>
            <w:sdtContent>
              <w:r>
                <w:rPr>
                  <w:rFonts w:ascii="方正小标宋_GBK" w:hAnsi="方正小标宋_GBK" w:eastAsia="方正小标宋_GBK" w:cs="方正小标宋_GBK"/>
                </w:rPr>
                <w:t>单位预算支出总表</w:t>
              </w:r>
            </w:sdtContent>
          </w:sdt>
          <w:r>
            <w:tab/>
          </w:r>
          <w:bookmarkStart w:id="4" w:name="_Toc20097_WPSOffice_Level1Page"/>
          <w:r>
            <w:t>7</w:t>
          </w:r>
          <w:bookmarkEnd w:id="4"/>
          <w:r>
            <w:fldChar w:fldCharType="end"/>
          </w:r>
        </w:p>
        <w:p>
          <w:pPr>
            <w:pStyle w:val="22"/>
            <w:tabs>
              <w:tab w:val="right" w:leader="dot" w:pos="14800"/>
            </w:tabs>
          </w:pPr>
          <w:r>
            <w:fldChar w:fldCharType="begin"/>
          </w:r>
          <w:r>
            <w:instrText xml:space="preserve"> HYPERLINK \l _Toc9537_WPSOffice_Level1 </w:instrText>
          </w:r>
          <w:r>
            <w:fldChar w:fldCharType="separate"/>
          </w:r>
          <w:sdt>
            <w:sdtPr>
              <w:rPr>
                <w:rFonts w:ascii="Times New Roman" w:hAnsi="Times New Roman" w:eastAsia="Times New Roman"/>
                <w:sz w:val="24"/>
                <w:szCs w:val="24"/>
                <w:lang w:val="en-US" w:eastAsia="uk-UA" w:bidi="ar-SA"/>
              </w:rPr>
              <w:id w:val="147463340"/>
              <w:placeholder>
                <w:docPart w:val="{cddefc87-d3ab-48bc-a403-80f88b1b2043}"/>
              </w:placeholder>
            </w:sdtPr>
            <w:sdtEndPr>
              <w:rPr>
                <w:rFonts w:ascii="Times New Roman" w:hAnsi="Times New Roman" w:eastAsia="Times New Roman"/>
                <w:sz w:val="24"/>
                <w:szCs w:val="24"/>
                <w:lang w:val="en-US" w:eastAsia="uk-UA" w:bidi="ar-SA"/>
              </w:rPr>
            </w:sdtEndPr>
            <w:sdtContent>
              <w:r>
                <w:rPr>
                  <w:rFonts w:ascii="方正小标宋_GBK" w:hAnsi="方正小标宋_GBK" w:eastAsia="方正小标宋_GBK" w:cs="方正小标宋_GBK"/>
                </w:rPr>
                <w:t>单位预算财政拨款收支总表</w:t>
              </w:r>
            </w:sdtContent>
          </w:sdt>
          <w:r>
            <w:tab/>
          </w:r>
          <w:bookmarkStart w:id="5" w:name="_Toc9537_WPSOffice_Level1Page"/>
          <w:r>
            <w:t>9</w:t>
          </w:r>
          <w:bookmarkEnd w:id="5"/>
          <w:r>
            <w:fldChar w:fldCharType="end"/>
          </w:r>
        </w:p>
        <w:p>
          <w:pPr>
            <w:pStyle w:val="22"/>
            <w:tabs>
              <w:tab w:val="right" w:leader="dot" w:pos="14800"/>
            </w:tabs>
          </w:pPr>
          <w:r>
            <w:fldChar w:fldCharType="begin"/>
          </w:r>
          <w:r>
            <w:instrText xml:space="preserve"> HYPERLINK \l _Toc18601_WPSOffice_Level1 </w:instrText>
          </w:r>
          <w:r>
            <w:fldChar w:fldCharType="separate"/>
          </w:r>
          <w:sdt>
            <w:sdtPr>
              <w:rPr>
                <w:rFonts w:ascii="Times New Roman" w:hAnsi="Times New Roman" w:eastAsia="Times New Roman"/>
                <w:sz w:val="24"/>
                <w:szCs w:val="24"/>
                <w:lang w:val="en-US" w:eastAsia="uk-UA" w:bidi="ar-SA"/>
              </w:rPr>
              <w:id w:val="147463340"/>
              <w:placeholder>
                <w:docPart w:val="{dfe9978d-a307-437b-9099-d9970e8b5e6a}"/>
              </w:placeholder>
            </w:sdtPr>
            <w:sdtEndPr>
              <w:rPr>
                <w:rFonts w:ascii="Times New Roman" w:hAnsi="Times New Roman" w:eastAsia="Times New Roman"/>
                <w:sz w:val="24"/>
                <w:szCs w:val="24"/>
                <w:lang w:val="en-US" w:eastAsia="uk-UA" w:bidi="ar-SA"/>
              </w:rPr>
            </w:sdtEndPr>
            <w:sdtContent>
              <w:r>
                <w:rPr>
                  <w:rFonts w:ascii="方正小标宋_GBK" w:hAnsi="方正小标宋_GBK" w:eastAsia="方正小标宋_GBK" w:cs="方正小标宋_GBK"/>
                </w:rPr>
                <w:t>单位预算一般公共预算财政拨款支出表</w:t>
              </w:r>
            </w:sdtContent>
          </w:sdt>
          <w:r>
            <w:tab/>
          </w:r>
          <w:bookmarkStart w:id="6" w:name="_Toc18601_WPSOffice_Level1Page"/>
          <w:r>
            <w:t>12</w:t>
          </w:r>
          <w:bookmarkEnd w:id="6"/>
          <w:r>
            <w:fldChar w:fldCharType="end"/>
          </w:r>
        </w:p>
        <w:p>
          <w:pPr>
            <w:pStyle w:val="22"/>
            <w:tabs>
              <w:tab w:val="right" w:leader="dot" w:pos="14800"/>
            </w:tabs>
          </w:pPr>
          <w:r>
            <w:fldChar w:fldCharType="begin"/>
          </w:r>
          <w:r>
            <w:instrText xml:space="preserve"> HYPERLINK \l _Toc25322_WPSOffice_Level1 </w:instrText>
          </w:r>
          <w:r>
            <w:fldChar w:fldCharType="separate"/>
          </w:r>
          <w:sdt>
            <w:sdtPr>
              <w:rPr>
                <w:rFonts w:ascii="Times New Roman" w:hAnsi="Times New Roman" w:eastAsia="Times New Roman"/>
                <w:sz w:val="24"/>
                <w:szCs w:val="24"/>
                <w:lang w:val="en-US" w:eastAsia="uk-UA" w:bidi="ar-SA"/>
              </w:rPr>
              <w:id w:val="147463340"/>
              <w:placeholder>
                <w:docPart w:val="{16a3180d-43d1-4455-b6e6-db9c601a6d4a}"/>
              </w:placeholder>
            </w:sdtPr>
            <w:sdtEndPr>
              <w:rPr>
                <w:rFonts w:ascii="Times New Roman" w:hAnsi="Times New Roman" w:eastAsia="Times New Roman"/>
                <w:sz w:val="24"/>
                <w:szCs w:val="24"/>
                <w:lang w:val="en-US" w:eastAsia="uk-UA" w:bidi="ar-SA"/>
              </w:rPr>
            </w:sdtEndPr>
            <w:sdtContent>
              <w:r>
                <w:rPr>
                  <w:rFonts w:ascii="方正小标宋_GBK" w:hAnsi="方正小标宋_GBK" w:eastAsia="方正小标宋_GBK" w:cs="方正小标宋_GBK"/>
                </w:rPr>
                <w:t>单位预算一般公共预算财政拨款基本支出表</w:t>
              </w:r>
            </w:sdtContent>
          </w:sdt>
          <w:r>
            <w:tab/>
          </w:r>
          <w:bookmarkStart w:id="7" w:name="_Toc25322_WPSOffice_Level1Page"/>
          <w:r>
            <w:t>14</w:t>
          </w:r>
          <w:bookmarkEnd w:id="7"/>
          <w:r>
            <w:fldChar w:fldCharType="end"/>
          </w:r>
        </w:p>
        <w:p>
          <w:pPr>
            <w:pStyle w:val="22"/>
            <w:tabs>
              <w:tab w:val="right" w:leader="dot" w:pos="14800"/>
            </w:tabs>
          </w:pPr>
          <w:r>
            <w:fldChar w:fldCharType="begin"/>
          </w:r>
          <w:r>
            <w:instrText xml:space="preserve"> HYPERLINK \l _Toc21615_WPSOffice_Level1 </w:instrText>
          </w:r>
          <w:r>
            <w:fldChar w:fldCharType="separate"/>
          </w:r>
          <w:sdt>
            <w:sdtPr>
              <w:rPr>
                <w:rFonts w:ascii="Times New Roman" w:hAnsi="Times New Roman" w:eastAsia="Times New Roman"/>
                <w:sz w:val="24"/>
                <w:szCs w:val="24"/>
                <w:lang w:val="en-US" w:eastAsia="uk-UA" w:bidi="ar-SA"/>
              </w:rPr>
              <w:id w:val="147463340"/>
              <w:placeholder>
                <w:docPart w:val="{2a60b3b0-9636-476b-ad13-fb22d8edde50}"/>
              </w:placeholder>
            </w:sdtPr>
            <w:sdtEndPr>
              <w:rPr>
                <w:rFonts w:ascii="Times New Roman" w:hAnsi="Times New Roman" w:eastAsia="Times New Roman"/>
                <w:sz w:val="24"/>
                <w:szCs w:val="24"/>
                <w:lang w:val="en-US" w:eastAsia="uk-UA" w:bidi="ar-SA"/>
              </w:rPr>
            </w:sdtEndPr>
            <w:sdtContent>
              <w:r>
                <w:rPr>
                  <w:rFonts w:ascii="方正小标宋_GBK" w:hAnsi="方正小标宋_GBK" w:eastAsia="方正小标宋_GBK" w:cs="方正小标宋_GBK"/>
                </w:rPr>
                <w:t>单位预算政府性基金预算财政拨款支出表</w:t>
              </w:r>
            </w:sdtContent>
          </w:sdt>
          <w:r>
            <w:tab/>
          </w:r>
          <w:bookmarkStart w:id="8" w:name="_Toc21615_WPSOffice_Level1Page"/>
          <w:r>
            <w:t>16</w:t>
          </w:r>
          <w:bookmarkEnd w:id="8"/>
          <w:r>
            <w:fldChar w:fldCharType="end"/>
          </w:r>
        </w:p>
        <w:p>
          <w:pPr>
            <w:pStyle w:val="22"/>
            <w:tabs>
              <w:tab w:val="right" w:leader="dot" w:pos="14800"/>
            </w:tabs>
          </w:pPr>
          <w:r>
            <w:fldChar w:fldCharType="begin"/>
          </w:r>
          <w:r>
            <w:instrText xml:space="preserve"> HYPERLINK \l _Toc5620_WPSOffice_Level1 </w:instrText>
          </w:r>
          <w:r>
            <w:fldChar w:fldCharType="separate"/>
          </w:r>
          <w:sdt>
            <w:sdtPr>
              <w:rPr>
                <w:rFonts w:ascii="Times New Roman" w:hAnsi="Times New Roman" w:eastAsia="Times New Roman"/>
                <w:sz w:val="24"/>
                <w:szCs w:val="24"/>
                <w:lang w:val="en-US" w:eastAsia="uk-UA" w:bidi="ar-SA"/>
              </w:rPr>
              <w:id w:val="147463340"/>
              <w:placeholder>
                <w:docPart w:val="{07057edd-a6dc-4525-8938-ef56cf8b6909}"/>
              </w:placeholder>
            </w:sdtPr>
            <w:sdtEndPr>
              <w:rPr>
                <w:rFonts w:ascii="Times New Roman" w:hAnsi="Times New Roman" w:eastAsia="Times New Roman"/>
                <w:sz w:val="24"/>
                <w:szCs w:val="24"/>
                <w:lang w:val="en-US" w:eastAsia="uk-UA" w:bidi="ar-SA"/>
              </w:rPr>
            </w:sdtEndPr>
            <w:sdtContent>
              <w:r>
                <w:rPr>
                  <w:rFonts w:ascii="方正小标宋_GBK" w:hAnsi="方正小标宋_GBK" w:eastAsia="方正小标宋_GBK" w:cs="方正小标宋_GBK"/>
                </w:rPr>
                <w:t>单位预算国有资本经营预算财政拨款支出表</w:t>
              </w:r>
            </w:sdtContent>
          </w:sdt>
          <w:r>
            <w:tab/>
          </w:r>
          <w:bookmarkStart w:id="9" w:name="_Toc5620_WPSOffice_Level1Page"/>
          <w:r>
            <w:t>17</w:t>
          </w:r>
          <w:bookmarkEnd w:id="9"/>
          <w:r>
            <w:fldChar w:fldCharType="end"/>
          </w:r>
        </w:p>
        <w:p>
          <w:pPr>
            <w:pStyle w:val="22"/>
            <w:tabs>
              <w:tab w:val="right" w:leader="dot" w:pos="14800"/>
            </w:tabs>
          </w:pPr>
          <w:r>
            <w:fldChar w:fldCharType="begin"/>
          </w:r>
          <w:r>
            <w:instrText xml:space="preserve"> HYPERLINK \l _Toc19031_WPSOffice_Level1 </w:instrText>
          </w:r>
          <w:r>
            <w:fldChar w:fldCharType="separate"/>
          </w:r>
          <w:sdt>
            <w:sdtPr>
              <w:rPr>
                <w:rFonts w:ascii="Times New Roman" w:hAnsi="Times New Roman" w:eastAsia="Times New Roman"/>
                <w:sz w:val="24"/>
                <w:szCs w:val="24"/>
                <w:lang w:val="en-US" w:eastAsia="uk-UA" w:bidi="ar-SA"/>
              </w:rPr>
              <w:id w:val="147463340"/>
              <w:placeholder>
                <w:docPart w:val="{7a9e3a7b-6426-4fc8-affb-34d22363c4ba}"/>
              </w:placeholder>
            </w:sdtPr>
            <w:sdtEndPr>
              <w:rPr>
                <w:rFonts w:ascii="Times New Roman" w:hAnsi="Times New Roman" w:eastAsia="Times New Roman"/>
                <w:sz w:val="24"/>
                <w:szCs w:val="24"/>
                <w:lang w:val="en-US" w:eastAsia="uk-UA" w:bidi="ar-SA"/>
              </w:rPr>
            </w:sdtEndPr>
            <w:sdtContent>
              <w:r>
                <w:rPr>
                  <w:rFonts w:ascii="方正小标宋_GBK" w:hAnsi="方正小标宋_GBK" w:eastAsia="方正小标宋_GBK" w:cs="方正小标宋_GBK"/>
                </w:rPr>
                <w:t>单位预算财政拨款“三公”经费支出表</w:t>
              </w:r>
            </w:sdtContent>
          </w:sdt>
          <w:r>
            <w:tab/>
          </w:r>
          <w:bookmarkStart w:id="10" w:name="_Toc19031_WPSOffice_Level1Page"/>
          <w:r>
            <w:t>18</w:t>
          </w:r>
          <w:bookmarkEnd w:id="10"/>
          <w:r>
            <w:fldChar w:fldCharType="end"/>
          </w:r>
        </w:p>
        <w:p>
          <w:pPr>
            <w:pStyle w:val="22"/>
            <w:tabs>
              <w:tab w:val="right" w:leader="dot" w:pos="14800"/>
            </w:tabs>
          </w:pPr>
          <w:r>
            <w:fldChar w:fldCharType="begin"/>
          </w:r>
          <w:r>
            <w:instrText xml:space="preserve"> HYPERLINK \l _Toc20682_WPSOffice_Level1 </w:instrText>
          </w:r>
          <w:r>
            <w:fldChar w:fldCharType="separate"/>
          </w:r>
          <w:sdt>
            <w:sdtPr>
              <w:rPr>
                <w:rFonts w:ascii="Times New Roman" w:hAnsi="Times New Roman" w:eastAsia="Times New Roman"/>
                <w:sz w:val="24"/>
                <w:szCs w:val="24"/>
                <w:lang w:val="en-US" w:eastAsia="uk-UA" w:bidi="ar-SA"/>
              </w:rPr>
              <w:id w:val="147463340"/>
              <w:placeholder>
                <w:docPart w:val="{fb361863-58e3-4e8b-a6b2-297a8e85a0e7}"/>
              </w:placeholder>
            </w:sdtPr>
            <w:sdtEndPr>
              <w:rPr>
                <w:rFonts w:ascii="Times New Roman" w:hAnsi="Times New Roman" w:eastAsia="Times New Roman"/>
                <w:sz w:val="24"/>
                <w:szCs w:val="24"/>
                <w:lang w:val="en-US" w:eastAsia="uk-UA" w:bidi="ar-SA"/>
              </w:rPr>
            </w:sdtEndPr>
            <w:sdtContent>
              <w:r>
                <w:rPr>
                  <w:rFonts w:ascii="黑体" w:hAnsi="黑体" w:eastAsia="黑体" w:cs="黑体"/>
                </w:rPr>
                <w:t>一、单位职责及机构设置情况</w:t>
              </w:r>
            </w:sdtContent>
          </w:sdt>
          <w:r>
            <w:tab/>
          </w:r>
          <w:bookmarkStart w:id="11" w:name="_Toc20682_WPSOffice_Level1Page"/>
          <w:r>
            <w:t>20</w:t>
          </w:r>
          <w:bookmarkEnd w:id="11"/>
          <w:r>
            <w:fldChar w:fldCharType="end"/>
          </w:r>
        </w:p>
        <w:p>
          <w:pPr>
            <w:pStyle w:val="22"/>
            <w:tabs>
              <w:tab w:val="right" w:leader="dot" w:pos="14800"/>
            </w:tabs>
          </w:pPr>
          <w:r>
            <w:fldChar w:fldCharType="begin"/>
          </w:r>
          <w:r>
            <w:instrText xml:space="preserve"> HYPERLINK \l _Toc26442_WPSOffice_Level1 </w:instrText>
          </w:r>
          <w:r>
            <w:fldChar w:fldCharType="separate"/>
          </w:r>
          <w:sdt>
            <w:sdtPr>
              <w:rPr>
                <w:rFonts w:ascii="Times New Roman" w:hAnsi="Times New Roman" w:eastAsia="Times New Roman"/>
                <w:sz w:val="24"/>
                <w:szCs w:val="24"/>
                <w:lang w:val="en-US" w:eastAsia="uk-UA" w:bidi="ar-SA"/>
              </w:rPr>
              <w:id w:val="147463340"/>
              <w:placeholder>
                <w:docPart w:val="{644f957a-3c17-4148-9224-449bf957e379}"/>
              </w:placeholder>
            </w:sdtPr>
            <w:sdtEndPr>
              <w:rPr>
                <w:rFonts w:ascii="Times New Roman" w:hAnsi="Times New Roman" w:eastAsia="Times New Roman"/>
                <w:sz w:val="24"/>
                <w:szCs w:val="24"/>
                <w:lang w:val="en-US" w:eastAsia="uk-UA" w:bidi="ar-SA"/>
              </w:rPr>
            </w:sdtEndPr>
            <w:sdtContent>
              <w:r>
                <w:rPr>
                  <w:rFonts w:ascii="黑体" w:hAnsi="黑体" w:eastAsia="黑体" w:cs="黑体"/>
                </w:rPr>
                <w:t>二、单位预算安排的总体情况</w:t>
              </w:r>
            </w:sdtContent>
          </w:sdt>
          <w:r>
            <w:tab/>
          </w:r>
          <w:bookmarkStart w:id="12" w:name="_Toc26442_WPSOffice_Level1Page"/>
          <w:r>
            <w:t>21</w:t>
          </w:r>
          <w:bookmarkEnd w:id="12"/>
          <w:r>
            <w:fldChar w:fldCharType="end"/>
          </w:r>
        </w:p>
        <w:p>
          <w:pPr>
            <w:pStyle w:val="22"/>
            <w:tabs>
              <w:tab w:val="right" w:leader="dot" w:pos="14800"/>
            </w:tabs>
          </w:pPr>
          <w:r>
            <w:fldChar w:fldCharType="begin"/>
          </w:r>
          <w:r>
            <w:instrText xml:space="preserve"> HYPERLINK \l _Toc10292_WPSOffice_Level1 </w:instrText>
          </w:r>
          <w:r>
            <w:fldChar w:fldCharType="separate"/>
          </w:r>
          <w:sdt>
            <w:sdtPr>
              <w:rPr>
                <w:rFonts w:ascii="Times New Roman" w:hAnsi="Times New Roman" w:eastAsia="Times New Roman"/>
                <w:sz w:val="24"/>
                <w:szCs w:val="24"/>
                <w:lang w:val="en-US" w:eastAsia="uk-UA" w:bidi="ar-SA"/>
              </w:rPr>
              <w:id w:val="147463340"/>
              <w:placeholder>
                <w:docPart w:val="{1eecaf99-1e3d-4d7f-a92c-a3abdc814908}"/>
              </w:placeholder>
            </w:sdtPr>
            <w:sdtEndPr>
              <w:rPr>
                <w:rFonts w:ascii="Times New Roman" w:hAnsi="Times New Roman" w:eastAsia="Times New Roman"/>
                <w:sz w:val="24"/>
                <w:szCs w:val="24"/>
                <w:lang w:val="en-US" w:eastAsia="uk-UA" w:bidi="ar-SA"/>
              </w:rPr>
            </w:sdtEndPr>
            <w:sdtContent>
              <w:r>
                <w:rPr>
                  <w:rFonts w:ascii="黑体" w:hAnsi="黑体" w:eastAsia="黑体" w:cs="黑体"/>
                </w:rPr>
                <w:t>三、机关运行经费安排情况</w:t>
              </w:r>
            </w:sdtContent>
          </w:sdt>
          <w:r>
            <w:tab/>
          </w:r>
          <w:bookmarkStart w:id="13" w:name="_Toc10292_WPSOffice_Level1Page"/>
          <w:r>
            <w:t>22</w:t>
          </w:r>
          <w:bookmarkEnd w:id="13"/>
          <w:r>
            <w:fldChar w:fldCharType="end"/>
          </w:r>
        </w:p>
        <w:p>
          <w:pPr>
            <w:pStyle w:val="22"/>
            <w:tabs>
              <w:tab w:val="right" w:leader="dot" w:pos="14800"/>
            </w:tabs>
          </w:pPr>
          <w:r>
            <w:fldChar w:fldCharType="begin"/>
          </w:r>
          <w:r>
            <w:instrText xml:space="preserve"> HYPERLINK \l _Toc4715_WPSOffice_Level1 </w:instrText>
          </w:r>
          <w:r>
            <w:fldChar w:fldCharType="separate"/>
          </w:r>
          <w:sdt>
            <w:sdtPr>
              <w:rPr>
                <w:rFonts w:ascii="Times New Roman" w:hAnsi="Times New Roman" w:eastAsia="Times New Roman"/>
                <w:sz w:val="24"/>
                <w:szCs w:val="24"/>
                <w:lang w:val="en-US" w:eastAsia="uk-UA" w:bidi="ar-SA"/>
              </w:rPr>
              <w:id w:val="147463340"/>
              <w:placeholder>
                <w:docPart w:val="{d0277fe9-ea58-4bb7-9033-97dba73a594b}"/>
              </w:placeholder>
            </w:sdtPr>
            <w:sdtEndPr>
              <w:rPr>
                <w:rFonts w:ascii="Times New Roman" w:hAnsi="Times New Roman" w:eastAsia="Times New Roman"/>
                <w:sz w:val="24"/>
                <w:szCs w:val="24"/>
                <w:lang w:val="en-US" w:eastAsia="uk-UA" w:bidi="ar-SA"/>
              </w:rPr>
            </w:sdtEndPr>
            <w:sdtContent>
              <w:r>
                <w:rPr>
                  <w:rFonts w:ascii="黑体" w:hAnsi="黑体" w:eastAsia="黑体" w:cs="黑体"/>
                </w:rPr>
                <w:t>四、财政拨款“三公”经费预算情况及增减变化</w:t>
              </w:r>
              <w:bookmarkStart w:id="43" w:name="_GoBack"/>
              <w:bookmarkEnd w:id="43"/>
              <w:r>
                <w:rPr>
                  <w:rFonts w:ascii="黑体" w:hAnsi="黑体" w:eastAsia="黑体" w:cs="黑体"/>
                </w:rPr>
                <w:t>原因</w:t>
              </w:r>
            </w:sdtContent>
          </w:sdt>
          <w:r>
            <w:tab/>
          </w:r>
          <w:bookmarkStart w:id="14" w:name="_Toc4715_WPSOffice_Level1Page"/>
          <w:r>
            <w:t>22</w:t>
          </w:r>
          <w:bookmarkEnd w:id="14"/>
          <w:r>
            <w:fldChar w:fldCharType="end"/>
          </w:r>
        </w:p>
        <w:p>
          <w:pPr>
            <w:pStyle w:val="22"/>
            <w:tabs>
              <w:tab w:val="right" w:leader="dot" w:pos="14800"/>
            </w:tabs>
          </w:pPr>
          <w:r>
            <w:fldChar w:fldCharType="begin"/>
          </w:r>
          <w:r>
            <w:instrText xml:space="preserve"> HYPERLINK \l _Toc24149_WPSOffice_Level1 </w:instrText>
          </w:r>
          <w:r>
            <w:fldChar w:fldCharType="separate"/>
          </w:r>
          <w:sdt>
            <w:sdtPr>
              <w:rPr>
                <w:rFonts w:ascii="Times New Roman" w:hAnsi="Times New Roman" w:eastAsia="Times New Roman"/>
                <w:sz w:val="24"/>
                <w:szCs w:val="24"/>
                <w:lang w:val="en-US" w:eastAsia="uk-UA" w:bidi="ar-SA"/>
              </w:rPr>
              <w:id w:val="147463340"/>
              <w:placeholder>
                <w:docPart w:val="{efd16e6c-f5a9-4c9d-bc4d-b8b8bcb526c0}"/>
              </w:placeholder>
            </w:sdtPr>
            <w:sdtEndPr>
              <w:rPr>
                <w:rFonts w:ascii="Times New Roman" w:hAnsi="Times New Roman" w:eastAsia="Times New Roman"/>
                <w:sz w:val="24"/>
                <w:szCs w:val="24"/>
                <w:lang w:val="en-US" w:eastAsia="uk-UA" w:bidi="ar-SA"/>
              </w:rPr>
            </w:sdtEndPr>
            <w:sdtContent>
              <w:r>
                <w:rPr>
                  <w:rFonts w:ascii="黑体" w:hAnsi="黑体" w:eastAsia="黑体" w:cs="黑体"/>
                </w:rPr>
                <w:t>五、单位项目预算安排情况及绩效目标</w:t>
              </w:r>
            </w:sdtContent>
          </w:sdt>
          <w:r>
            <w:tab/>
          </w:r>
          <w:bookmarkStart w:id="15" w:name="_Toc24149_WPSOffice_Level1Page"/>
          <w:r>
            <w:t>23</w:t>
          </w:r>
          <w:bookmarkEnd w:id="15"/>
          <w:r>
            <w:fldChar w:fldCharType="end"/>
          </w:r>
        </w:p>
        <w:p>
          <w:pPr>
            <w:pStyle w:val="22"/>
            <w:tabs>
              <w:tab w:val="right" w:leader="dot" w:pos="14800"/>
            </w:tabs>
          </w:pPr>
          <w:r>
            <w:fldChar w:fldCharType="begin"/>
          </w:r>
          <w:r>
            <w:instrText xml:space="preserve"> HYPERLINK \l _Toc26266_WPSOffice_Level1 </w:instrText>
          </w:r>
          <w:r>
            <w:fldChar w:fldCharType="separate"/>
          </w:r>
          <w:sdt>
            <w:sdtPr>
              <w:rPr>
                <w:rFonts w:ascii="Times New Roman" w:hAnsi="Times New Roman" w:eastAsia="Times New Roman"/>
                <w:sz w:val="24"/>
                <w:szCs w:val="24"/>
                <w:lang w:val="en-US" w:eastAsia="uk-UA" w:bidi="ar-SA"/>
              </w:rPr>
              <w:id w:val="147463340"/>
              <w:placeholder>
                <w:docPart w:val="{cf5e571e-f5e4-4e63-b9c5-185915ac0a4d}"/>
              </w:placeholder>
            </w:sdtPr>
            <w:sdtEndPr>
              <w:rPr>
                <w:rFonts w:ascii="Times New Roman" w:hAnsi="Times New Roman" w:eastAsia="Times New Roman"/>
                <w:sz w:val="24"/>
                <w:szCs w:val="24"/>
                <w:lang w:val="en-US" w:eastAsia="uk-UA" w:bidi="ar-SA"/>
              </w:rPr>
            </w:sdtEndPr>
            <w:sdtContent>
              <w:r>
                <w:rPr>
                  <w:rFonts w:ascii="黑体" w:hAnsi="黑体" w:eastAsia="黑体" w:cs="黑体"/>
                </w:rPr>
                <w:t>六、政府采购预算情况</w:t>
              </w:r>
            </w:sdtContent>
          </w:sdt>
          <w:r>
            <w:tab/>
          </w:r>
          <w:bookmarkStart w:id="16" w:name="_Toc26266_WPSOffice_Level1Page"/>
          <w:r>
            <w:t>29</w:t>
          </w:r>
          <w:bookmarkEnd w:id="16"/>
          <w:r>
            <w:fldChar w:fldCharType="end"/>
          </w:r>
        </w:p>
        <w:p>
          <w:pPr>
            <w:pStyle w:val="22"/>
            <w:tabs>
              <w:tab w:val="right" w:leader="dot" w:pos="14800"/>
            </w:tabs>
          </w:pPr>
          <w:r>
            <w:fldChar w:fldCharType="begin"/>
          </w:r>
          <w:r>
            <w:instrText xml:space="preserve"> HYPERLINK \l _Toc9907_WPSOffice_Level1 </w:instrText>
          </w:r>
          <w:r>
            <w:fldChar w:fldCharType="separate"/>
          </w:r>
          <w:sdt>
            <w:sdtPr>
              <w:rPr>
                <w:rFonts w:ascii="Times New Roman" w:hAnsi="Times New Roman" w:eastAsia="Times New Roman"/>
                <w:sz w:val="24"/>
                <w:szCs w:val="24"/>
                <w:lang w:val="en-US" w:eastAsia="uk-UA" w:bidi="ar-SA"/>
              </w:rPr>
              <w:id w:val="147463340"/>
              <w:placeholder>
                <w:docPart w:val="{fb6c4801-7a7e-4c1a-a305-9264daf85d4a}"/>
              </w:placeholder>
            </w:sdtPr>
            <w:sdtEndPr>
              <w:rPr>
                <w:rFonts w:ascii="Times New Roman" w:hAnsi="Times New Roman" w:eastAsia="Times New Roman"/>
                <w:sz w:val="24"/>
                <w:szCs w:val="24"/>
                <w:lang w:val="en-US" w:eastAsia="uk-UA" w:bidi="ar-SA"/>
              </w:rPr>
            </w:sdtEndPr>
            <w:sdtContent>
              <w:r>
                <w:rPr>
                  <w:rFonts w:ascii="方正小标宋_GBK" w:hAnsi="方正小标宋_GBK" w:eastAsia="方正小标宋_GBK" w:cs="方正小标宋_GBK"/>
                </w:rPr>
                <w:t>单位政府采购预算</w:t>
              </w:r>
            </w:sdtContent>
          </w:sdt>
          <w:r>
            <w:tab/>
          </w:r>
          <w:bookmarkStart w:id="17" w:name="_Toc9907_WPSOffice_Level1Page"/>
          <w:r>
            <w:t>29</w:t>
          </w:r>
          <w:bookmarkEnd w:id="17"/>
          <w:r>
            <w:fldChar w:fldCharType="end"/>
          </w:r>
        </w:p>
        <w:p>
          <w:pPr>
            <w:pStyle w:val="22"/>
            <w:tabs>
              <w:tab w:val="right" w:leader="dot" w:pos="14800"/>
            </w:tabs>
          </w:pPr>
          <w:r>
            <w:fldChar w:fldCharType="begin"/>
          </w:r>
          <w:r>
            <w:instrText xml:space="preserve"> HYPERLINK \l _Toc17630_WPSOffice_Level1 </w:instrText>
          </w:r>
          <w:r>
            <w:fldChar w:fldCharType="separate"/>
          </w:r>
          <w:sdt>
            <w:sdtPr>
              <w:rPr>
                <w:rFonts w:ascii="Times New Roman" w:hAnsi="Times New Roman" w:eastAsia="Times New Roman"/>
                <w:sz w:val="24"/>
                <w:szCs w:val="24"/>
                <w:lang w:val="en-US" w:eastAsia="uk-UA" w:bidi="ar-SA"/>
              </w:rPr>
              <w:id w:val="147463340"/>
              <w:placeholder>
                <w:docPart w:val="{11863dd7-dc52-4c7e-a9ad-4e3ee9e1383d}"/>
              </w:placeholder>
            </w:sdtPr>
            <w:sdtEndPr>
              <w:rPr>
                <w:rFonts w:ascii="Times New Roman" w:hAnsi="Times New Roman" w:eastAsia="Times New Roman"/>
                <w:sz w:val="24"/>
                <w:szCs w:val="24"/>
                <w:lang w:val="en-US" w:eastAsia="uk-UA" w:bidi="ar-SA"/>
              </w:rPr>
            </w:sdtEndPr>
            <w:sdtContent>
              <w:r>
                <w:rPr>
                  <w:rFonts w:ascii="黑体" w:hAnsi="黑体" w:eastAsia="黑体" w:cs="黑体"/>
                </w:rPr>
                <w:t>七、国有资产信息</w:t>
              </w:r>
            </w:sdtContent>
          </w:sdt>
          <w:r>
            <w:tab/>
          </w:r>
          <w:bookmarkStart w:id="18" w:name="_Toc17630_WPSOffice_Level1Page"/>
          <w:r>
            <w:t>29</w:t>
          </w:r>
          <w:bookmarkEnd w:id="18"/>
          <w:r>
            <w:fldChar w:fldCharType="end"/>
          </w:r>
        </w:p>
        <w:p>
          <w:pPr>
            <w:pStyle w:val="22"/>
            <w:tabs>
              <w:tab w:val="right" w:leader="dot" w:pos="14800"/>
            </w:tabs>
          </w:pPr>
          <w:r>
            <w:fldChar w:fldCharType="begin"/>
          </w:r>
          <w:r>
            <w:instrText xml:space="preserve"> HYPERLINK \l _Toc21353_WPSOffice_Level1 </w:instrText>
          </w:r>
          <w:r>
            <w:fldChar w:fldCharType="separate"/>
          </w:r>
          <w:sdt>
            <w:sdtPr>
              <w:rPr>
                <w:rFonts w:ascii="Times New Roman" w:hAnsi="Times New Roman" w:eastAsia="Times New Roman"/>
                <w:sz w:val="24"/>
                <w:szCs w:val="24"/>
                <w:lang w:val="en-US" w:eastAsia="uk-UA" w:bidi="ar-SA"/>
              </w:rPr>
              <w:id w:val="147463340"/>
              <w:placeholder>
                <w:docPart w:val="{02e5998c-0afd-47cf-8c05-cbb38d8d2a9b}"/>
              </w:placeholder>
            </w:sdtPr>
            <w:sdtEndPr>
              <w:rPr>
                <w:rFonts w:ascii="Times New Roman" w:hAnsi="Times New Roman" w:eastAsia="Times New Roman"/>
                <w:sz w:val="24"/>
                <w:szCs w:val="24"/>
                <w:lang w:val="en-US" w:eastAsia="uk-UA" w:bidi="ar-SA"/>
              </w:rPr>
            </w:sdtEndPr>
            <w:sdtContent>
              <w:r>
                <w:rPr>
                  <w:rFonts w:ascii="方正小标宋_GBK" w:hAnsi="方正小标宋_GBK" w:eastAsia="方正小标宋_GBK" w:cs="方正小标宋_GBK"/>
                </w:rPr>
                <w:t>单位固定资产占用情况表</w:t>
              </w:r>
            </w:sdtContent>
          </w:sdt>
          <w:r>
            <w:tab/>
          </w:r>
          <w:bookmarkStart w:id="19" w:name="_Toc21353_WPSOffice_Level1Page"/>
          <w:r>
            <w:t>29</w:t>
          </w:r>
          <w:bookmarkEnd w:id="19"/>
          <w:r>
            <w:fldChar w:fldCharType="end"/>
          </w:r>
        </w:p>
        <w:p>
          <w:pPr>
            <w:pStyle w:val="22"/>
            <w:tabs>
              <w:tab w:val="right" w:leader="dot" w:pos="14800"/>
            </w:tabs>
          </w:pPr>
          <w:r>
            <w:fldChar w:fldCharType="begin"/>
          </w:r>
          <w:r>
            <w:instrText xml:space="preserve"> HYPERLINK \l _Toc8016_WPSOffice_Level1 </w:instrText>
          </w:r>
          <w:r>
            <w:fldChar w:fldCharType="separate"/>
          </w:r>
          <w:sdt>
            <w:sdtPr>
              <w:rPr>
                <w:rFonts w:ascii="Times New Roman" w:hAnsi="Times New Roman" w:eastAsia="Times New Roman"/>
                <w:sz w:val="24"/>
                <w:szCs w:val="24"/>
                <w:lang w:val="en-US" w:eastAsia="uk-UA" w:bidi="ar-SA"/>
              </w:rPr>
              <w:id w:val="147463340"/>
              <w:placeholder>
                <w:docPart w:val="{2ec629d1-e6c1-4b7f-bbb1-bcc6cbd0c5a0}"/>
              </w:placeholder>
            </w:sdtPr>
            <w:sdtEndPr>
              <w:rPr>
                <w:rFonts w:ascii="Times New Roman" w:hAnsi="Times New Roman" w:eastAsia="Times New Roman"/>
                <w:sz w:val="24"/>
                <w:szCs w:val="24"/>
                <w:lang w:val="en-US" w:eastAsia="uk-UA" w:bidi="ar-SA"/>
              </w:rPr>
            </w:sdtEndPr>
            <w:sdtContent>
              <w:r>
                <w:rPr>
                  <w:rFonts w:ascii="黑体" w:hAnsi="黑体" w:eastAsia="黑体" w:cs="黑体"/>
                </w:rPr>
                <w:t>八、名词解释</w:t>
              </w:r>
            </w:sdtContent>
          </w:sdt>
          <w:r>
            <w:tab/>
          </w:r>
          <w:bookmarkStart w:id="20" w:name="_Toc8016_WPSOffice_Level1Page"/>
          <w:r>
            <w:t>30</w:t>
          </w:r>
          <w:bookmarkEnd w:id="20"/>
          <w:r>
            <w:fldChar w:fldCharType="end"/>
          </w:r>
        </w:p>
        <w:p>
          <w:pPr>
            <w:pStyle w:val="22"/>
            <w:tabs>
              <w:tab w:val="right" w:leader="dot" w:pos="14800"/>
            </w:tabs>
          </w:pPr>
          <w:r>
            <w:fldChar w:fldCharType="begin"/>
          </w:r>
          <w:r>
            <w:instrText xml:space="preserve"> HYPERLINK \l _Toc31984_WPSOffice_Level1 </w:instrText>
          </w:r>
          <w:r>
            <w:fldChar w:fldCharType="separate"/>
          </w:r>
          <w:sdt>
            <w:sdtPr>
              <w:rPr>
                <w:rFonts w:ascii="Times New Roman" w:hAnsi="Times New Roman" w:eastAsia="Times New Roman"/>
                <w:sz w:val="24"/>
                <w:szCs w:val="24"/>
                <w:lang w:val="en-US" w:eastAsia="uk-UA" w:bidi="ar-SA"/>
              </w:rPr>
              <w:id w:val="147463340"/>
              <w:placeholder>
                <w:docPart w:val="{bd3204b3-36a3-4e02-a430-7a60f949816e}"/>
              </w:placeholder>
            </w:sdtPr>
            <w:sdtEndPr>
              <w:rPr>
                <w:rFonts w:ascii="Times New Roman" w:hAnsi="Times New Roman" w:eastAsia="Times New Roman"/>
                <w:sz w:val="24"/>
                <w:szCs w:val="24"/>
                <w:lang w:val="en-US" w:eastAsia="uk-UA" w:bidi="ar-SA"/>
              </w:rPr>
            </w:sdtEndPr>
            <w:sdtContent>
              <w:r>
                <w:rPr>
                  <w:rFonts w:ascii="黑体" w:hAnsi="黑体" w:eastAsia="黑体" w:cs="黑体"/>
                </w:rPr>
                <w:t>九、其他需要说明的事项</w:t>
              </w:r>
            </w:sdtContent>
          </w:sdt>
          <w:r>
            <w:tab/>
          </w:r>
          <w:bookmarkStart w:id="21" w:name="_Toc31984_WPSOffice_Level1Page"/>
          <w:r>
            <w:t>31</w:t>
          </w:r>
          <w:bookmarkEnd w:id="21"/>
          <w:r>
            <w:fldChar w:fldCharType="end"/>
          </w:r>
          <w:bookmarkEnd w:id="0"/>
        </w:p>
      </w:sdtContent>
    </w:sdt>
    <w:p>
      <w:pPr>
        <w:spacing w:before="0" w:after="0"/>
        <w:ind w:firstLine="0"/>
        <w:jc w:val="center"/>
        <w:outlineLvl w:val="3"/>
        <w:rPr>
          <w:rFonts w:ascii="方正小标宋_GBK" w:hAnsi="方正小标宋_GBK" w:eastAsia="方正小标宋_GBK" w:cs="方正小标宋_GBK"/>
          <w:b w:val="0"/>
          <w:color w:val="000000"/>
          <w:sz w:val="44"/>
        </w:rPr>
      </w:pPr>
      <w:bookmarkStart w:id="22" w:name="_Toc2354_WPSOffice_Level1"/>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一、唐山高新技术创业中心（本级）收支预算</w:t>
      </w:r>
      <w:bookmarkEnd w:id="22"/>
    </w:p>
    <w:p>
      <w:pPr>
        <w:spacing w:before="0" w:after="0" w:line="240" w:lineRule="auto"/>
        <w:ind w:firstLine="0"/>
        <w:jc w:val="center"/>
        <w:outlineLvl w:val="4"/>
      </w:pPr>
      <w:bookmarkStart w:id="23" w:name="_Toc21160_WPSOffice_Level1"/>
      <w:r>
        <w:rPr>
          <w:rFonts w:ascii="方正小标宋_GBK" w:hAnsi="方正小标宋_GBK" w:eastAsia="方正小标宋_GBK" w:cs="方正小标宋_GBK"/>
          <w:color w:val="000000"/>
          <w:sz w:val="36"/>
        </w:rPr>
        <w:t>单位预算收支总表</w:t>
      </w:r>
      <w:bookmarkEnd w:id="23"/>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115001唐山高新技术创业中心（本级）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2019.32</w:t>
            </w:r>
          </w:p>
        </w:tc>
        <w:tc>
          <w:tcPr>
            <w:tcW w:w="4535" w:type="dxa"/>
            <w:vAlign w:val="center"/>
          </w:tcPr>
          <w:p>
            <w:pPr>
              <w:pStyle w:val="12"/>
            </w:pPr>
            <w:r>
              <w:t>一、一般公共服务支出</w:t>
            </w:r>
          </w:p>
        </w:tc>
        <w:tc>
          <w:tcPr>
            <w:tcW w:w="2126"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1884.14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68.77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2019.32</w:t>
            </w:r>
          </w:p>
        </w:tc>
        <w:tc>
          <w:tcPr>
            <w:tcW w:w="4535" w:type="dxa"/>
            <w:vAlign w:val="center"/>
          </w:tcPr>
          <w:p>
            <w:pPr>
              <w:pStyle w:val="14"/>
            </w:pPr>
            <w:r>
              <w:t>本年支出合计</w:t>
            </w:r>
          </w:p>
        </w:tc>
        <w:tc>
          <w:tcPr>
            <w:tcW w:w="2126" w:type="dxa"/>
            <w:vAlign w:val="center"/>
          </w:tcPr>
          <w:p>
            <w:pPr>
              <w:pStyle w:val="15"/>
            </w:pPr>
            <w:r>
              <w:t>2019.32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2019.32</w:t>
            </w:r>
          </w:p>
        </w:tc>
        <w:tc>
          <w:tcPr>
            <w:tcW w:w="4535" w:type="dxa"/>
            <w:vAlign w:val="center"/>
          </w:tcPr>
          <w:p>
            <w:pPr>
              <w:pStyle w:val="14"/>
            </w:pPr>
            <w:r>
              <w:t>支出总计</w:t>
            </w:r>
          </w:p>
        </w:tc>
        <w:tc>
          <w:tcPr>
            <w:tcW w:w="2126" w:type="dxa"/>
            <w:vAlign w:val="center"/>
          </w:tcPr>
          <w:p>
            <w:pPr>
              <w:pStyle w:val="15"/>
            </w:pPr>
            <w:r>
              <w:t>2019.32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bookmarkStart w:id="24" w:name="_Toc29191_WPSOffice_Level1"/>
      <w:r>
        <w:rPr>
          <w:rFonts w:ascii="方正小标宋_GBK" w:hAnsi="方正小标宋_GBK" w:eastAsia="方正小标宋_GBK" w:cs="方正小标宋_GBK"/>
          <w:color w:val="000000"/>
          <w:sz w:val="36"/>
        </w:rPr>
        <w:t>单位预算收入总表</w:t>
      </w:r>
      <w:bookmarkEnd w:id="24"/>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115001唐山高新技术创业中心（本级）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2019.32</w:t>
            </w:r>
          </w:p>
        </w:tc>
        <w:tc>
          <w:tcPr>
            <w:tcW w:w="1134" w:type="dxa"/>
            <w:vAlign w:val="center"/>
          </w:tcPr>
          <w:p>
            <w:pPr>
              <w:pStyle w:val="15"/>
            </w:pPr>
            <w:r>
              <w:t>2019.32</w:t>
            </w:r>
          </w:p>
        </w:tc>
        <w:tc>
          <w:tcPr>
            <w:tcW w:w="1134" w:type="dxa"/>
            <w:vAlign w:val="center"/>
          </w:tcPr>
          <w:p>
            <w:pPr>
              <w:pStyle w:val="15"/>
            </w:pPr>
            <w:r>
              <w:t>2019.32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1884.14</w:t>
            </w:r>
          </w:p>
        </w:tc>
        <w:tc>
          <w:tcPr>
            <w:tcW w:w="1134" w:type="dxa"/>
            <w:vAlign w:val="center"/>
          </w:tcPr>
          <w:p>
            <w:pPr>
              <w:pStyle w:val="11"/>
            </w:pPr>
            <w:r>
              <w:t>1884.14</w:t>
            </w:r>
          </w:p>
        </w:tc>
        <w:tc>
          <w:tcPr>
            <w:tcW w:w="1134" w:type="dxa"/>
            <w:vAlign w:val="center"/>
          </w:tcPr>
          <w:p>
            <w:pPr>
              <w:pStyle w:val="11"/>
            </w:pPr>
            <w:r>
              <w:t>1884.14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20601</w:t>
            </w:r>
          </w:p>
        </w:tc>
        <w:tc>
          <w:tcPr>
            <w:tcW w:w="1559" w:type="dxa"/>
            <w:vAlign w:val="center"/>
          </w:tcPr>
          <w:p>
            <w:pPr>
              <w:pStyle w:val="12"/>
            </w:pPr>
            <w:r>
              <w:t>科学技术管理事务</w:t>
            </w:r>
          </w:p>
        </w:tc>
        <w:tc>
          <w:tcPr>
            <w:tcW w:w="1134" w:type="dxa"/>
            <w:vAlign w:val="center"/>
          </w:tcPr>
          <w:p>
            <w:pPr>
              <w:pStyle w:val="11"/>
            </w:pPr>
            <w:r>
              <w:t>1884.14</w:t>
            </w:r>
          </w:p>
        </w:tc>
        <w:tc>
          <w:tcPr>
            <w:tcW w:w="1134" w:type="dxa"/>
            <w:vAlign w:val="center"/>
          </w:tcPr>
          <w:p>
            <w:pPr>
              <w:pStyle w:val="11"/>
            </w:pPr>
            <w:r>
              <w:t>1884.14</w:t>
            </w:r>
          </w:p>
        </w:tc>
        <w:tc>
          <w:tcPr>
            <w:tcW w:w="1134" w:type="dxa"/>
            <w:vAlign w:val="center"/>
          </w:tcPr>
          <w:p>
            <w:pPr>
              <w:pStyle w:val="11"/>
            </w:pPr>
            <w:r>
              <w:t>1884.14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2060101</w:t>
            </w:r>
          </w:p>
        </w:tc>
        <w:tc>
          <w:tcPr>
            <w:tcW w:w="1559" w:type="dxa"/>
            <w:vAlign w:val="center"/>
          </w:tcPr>
          <w:p>
            <w:pPr>
              <w:pStyle w:val="12"/>
            </w:pPr>
            <w:r>
              <w:t>行政运行</w:t>
            </w:r>
          </w:p>
        </w:tc>
        <w:tc>
          <w:tcPr>
            <w:tcW w:w="1134" w:type="dxa"/>
            <w:vAlign w:val="center"/>
          </w:tcPr>
          <w:p>
            <w:pPr>
              <w:pStyle w:val="11"/>
            </w:pPr>
            <w:r>
              <w:t>630.58</w:t>
            </w:r>
          </w:p>
        </w:tc>
        <w:tc>
          <w:tcPr>
            <w:tcW w:w="1134" w:type="dxa"/>
            <w:vAlign w:val="center"/>
          </w:tcPr>
          <w:p>
            <w:pPr>
              <w:pStyle w:val="11"/>
            </w:pPr>
            <w:r>
              <w:t>630.58</w:t>
            </w:r>
          </w:p>
        </w:tc>
        <w:tc>
          <w:tcPr>
            <w:tcW w:w="1134" w:type="dxa"/>
            <w:vAlign w:val="center"/>
          </w:tcPr>
          <w:p>
            <w:pPr>
              <w:pStyle w:val="11"/>
            </w:pPr>
            <w:r>
              <w:t>630.58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2060102</w:t>
            </w:r>
          </w:p>
        </w:tc>
        <w:tc>
          <w:tcPr>
            <w:tcW w:w="1559" w:type="dxa"/>
            <w:vAlign w:val="center"/>
          </w:tcPr>
          <w:p>
            <w:pPr>
              <w:pStyle w:val="12"/>
            </w:pPr>
            <w:r>
              <w:t>一般行政管理事务</w:t>
            </w:r>
          </w:p>
        </w:tc>
        <w:tc>
          <w:tcPr>
            <w:tcW w:w="1134" w:type="dxa"/>
            <w:vAlign w:val="center"/>
          </w:tcPr>
          <w:p>
            <w:pPr>
              <w:pStyle w:val="11"/>
            </w:pPr>
            <w:r>
              <w:t>1253.56</w:t>
            </w:r>
          </w:p>
        </w:tc>
        <w:tc>
          <w:tcPr>
            <w:tcW w:w="1134" w:type="dxa"/>
            <w:vAlign w:val="center"/>
          </w:tcPr>
          <w:p>
            <w:pPr>
              <w:pStyle w:val="11"/>
            </w:pPr>
            <w:r>
              <w:t>1253.56</w:t>
            </w:r>
          </w:p>
        </w:tc>
        <w:tc>
          <w:tcPr>
            <w:tcW w:w="1134" w:type="dxa"/>
            <w:vAlign w:val="center"/>
          </w:tcPr>
          <w:p>
            <w:pPr>
              <w:pStyle w:val="11"/>
            </w:pPr>
            <w:r>
              <w:t>1253.56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68.77</w:t>
            </w:r>
          </w:p>
        </w:tc>
        <w:tc>
          <w:tcPr>
            <w:tcW w:w="1134" w:type="dxa"/>
            <w:vAlign w:val="center"/>
          </w:tcPr>
          <w:p>
            <w:pPr>
              <w:pStyle w:val="11"/>
            </w:pPr>
            <w:r>
              <w:t>68.77</w:t>
            </w:r>
          </w:p>
        </w:tc>
        <w:tc>
          <w:tcPr>
            <w:tcW w:w="1134" w:type="dxa"/>
            <w:vAlign w:val="center"/>
          </w:tcPr>
          <w:p>
            <w:pPr>
              <w:pStyle w:val="11"/>
            </w:pPr>
            <w:r>
              <w:t>68.77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68.77</w:t>
            </w:r>
          </w:p>
        </w:tc>
        <w:tc>
          <w:tcPr>
            <w:tcW w:w="1134" w:type="dxa"/>
            <w:vAlign w:val="center"/>
          </w:tcPr>
          <w:p>
            <w:pPr>
              <w:pStyle w:val="11"/>
            </w:pPr>
            <w:r>
              <w:t>68.77</w:t>
            </w:r>
          </w:p>
        </w:tc>
        <w:tc>
          <w:tcPr>
            <w:tcW w:w="1134" w:type="dxa"/>
            <w:vAlign w:val="center"/>
          </w:tcPr>
          <w:p>
            <w:pPr>
              <w:pStyle w:val="11"/>
            </w:pPr>
            <w:r>
              <w:t>68.77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7.01</w:t>
            </w:r>
          </w:p>
        </w:tc>
        <w:tc>
          <w:tcPr>
            <w:tcW w:w="1134" w:type="dxa"/>
            <w:vAlign w:val="center"/>
          </w:tcPr>
          <w:p>
            <w:pPr>
              <w:pStyle w:val="11"/>
            </w:pPr>
            <w:r>
              <w:t>7.01</w:t>
            </w:r>
          </w:p>
        </w:tc>
        <w:tc>
          <w:tcPr>
            <w:tcW w:w="1134" w:type="dxa"/>
            <w:vAlign w:val="center"/>
          </w:tcPr>
          <w:p>
            <w:pPr>
              <w:pStyle w:val="11"/>
            </w:pPr>
            <w:r>
              <w:t>7.01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21.21</w:t>
            </w:r>
          </w:p>
        </w:tc>
        <w:tc>
          <w:tcPr>
            <w:tcW w:w="1134" w:type="dxa"/>
            <w:vAlign w:val="center"/>
          </w:tcPr>
          <w:p>
            <w:pPr>
              <w:pStyle w:val="11"/>
            </w:pPr>
            <w:r>
              <w:t>21.21</w:t>
            </w:r>
          </w:p>
        </w:tc>
        <w:tc>
          <w:tcPr>
            <w:tcW w:w="1134" w:type="dxa"/>
            <w:vAlign w:val="center"/>
          </w:tcPr>
          <w:p>
            <w:pPr>
              <w:pStyle w:val="11"/>
            </w:pPr>
            <w:r>
              <w:t>21.21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30.55</w:t>
            </w:r>
          </w:p>
        </w:tc>
        <w:tc>
          <w:tcPr>
            <w:tcW w:w="1134" w:type="dxa"/>
            <w:vAlign w:val="center"/>
          </w:tcPr>
          <w:p>
            <w:pPr>
              <w:pStyle w:val="11"/>
            </w:pPr>
            <w:r>
              <w:t>30.55</w:t>
            </w:r>
          </w:p>
        </w:tc>
        <w:tc>
          <w:tcPr>
            <w:tcW w:w="1134" w:type="dxa"/>
            <w:vAlign w:val="center"/>
          </w:tcPr>
          <w:p>
            <w:pPr>
              <w:pStyle w:val="11"/>
            </w:pPr>
            <w:r>
              <w:t>30.55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30.41</w:t>
            </w:r>
          </w:p>
        </w:tc>
        <w:tc>
          <w:tcPr>
            <w:tcW w:w="1134" w:type="dxa"/>
            <w:vAlign w:val="center"/>
          </w:tcPr>
          <w:p>
            <w:pPr>
              <w:pStyle w:val="11"/>
            </w:pPr>
            <w:r>
              <w:t>30.41</w:t>
            </w:r>
          </w:p>
        </w:tc>
        <w:tc>
          <w:tcPr>
            <w:tcW w:w="1134" w:type="dxa"/>
            <w:vAlign w:val="center"/>
          </w:tcPr>
          <w:p>
            <w:pPr>
              <w:pStyle w:val="11"/>
            </w:pPr>
            <w:r>
              <w:t>30.41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30.41</w:t>
            </w:r>
          </w:p>
        </w:tc>
        <w:tc>
          <w:tcPr>
            <w:tcW w:w="1134" w:type="dxa"/>
            <w:vAlign w:val="center"/>
          </w:tcPr>
          <w:p>
            <w:pPr>
              <w:pStyle w:val="11"/>
            </w:pPr>
            <w:r>
              <w:t>30.41</w:t>
            </w:r>
          </w:p>
        </w:tc>
        <w:tc>
          <w:tcPr>
            <w:tcW w:w="1134" w:type="dxa"/>
            <w:vAlign w:val="center"/>
          </w:tcPr>
          <w:p>
            <w:pPr>
              <w:pStyle w:val="11"/>
            </w:pPr>
            <w:r>
              <w:t>30.41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1.54</w:t>
            </w:r>
          </w:p>
        </w:tc>
        <w:tc>
          <w:tcPr>
            <w:tcW w:w="1134" w:type="dxa"/>
            <w:vAlign w:val="center"/>
          </w:tcPr>
          <w:p>
            <w:pPr>
              <w:pStyle w:val="11"/>
            </w:pPr>
            <w:r>
              <w:t>1.54</w:t>
            </w:r>
          </w:p>
        </w:tc>
        <w:tc>
          <w:tcPr>
            <w:tcW w:w="1134" w:type="dxa"/>
            <w:vAlign w:val="center"/>
          </w:tcPr>
          <w:p>
            <w:pPr>
              <w:pStyle w:val="11"/>
            </w:pPr>
            <w:r>
              <w:t>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16.47</w:t>
            </w:r>
          </w:p>
        </w:tc>
        <w:tc>
          <w:tcPr>
            <w:tcW w:w="1134" w:type="dxa"/>
            <w:vAlign w:val="center"/>
          </w:tcPr>
          <w:p>
            <w:pPr>
              <w:pStyle w:val="11"/>
            </w:pPr>
            <w:r>
              <w:t>16.47</w:t>
            </w:r>
          </w:p>
        </w:tc>
        <w:tc>
          <w:tcPr>
            <w:tcW w:w="1134" w:type="dxa"/>
            <w:vAlign w:val="center"/>
          </w:tcPr>
          <w:p>
            <w:pPr>
              <w:pStyle w:val="11"/>
            </w:pPr>
            <w:r>
              <w:t>16.47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5" w:name="_Toc20097_WPSOffice_Level1"/>
      <w:r>
        <w:rPr>
          <w:rFonts w:ascii="方正小标宋_GBK" w:hAnsi="方正小标宋_GBK" w:eastAsia="方正小标宋_GBK" w:cs="方正小标宋_GBK"/>
          <w:color w:val="000000"/>
          <w:sz w:val="36"/>
        </w:rPr>
        <w:t>单位预算支出总表</w:t>
      </w:r>
      <w:bookmarkEnd w:id="25"/>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115001唐山高新技术创业中心（本级）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2019.32</w:t>
            </w:r>
          </w:p>
        </w:tc>
        <w:tc>
          <w:tcPr>
            <w:tcW w:w="1361" w:type="dxa"/>
            <w:vAlign w:val="center"/>
          </w:tcPr>
          <w:p>
            <w:pPr>
              <w:pStyle w:val="15"/>
            </w:pPr>
            <w:r>
              <w:t>755.76</w:t>
            </w:r>
          </w:p>
        </w:tc>
        <w:tc>
          <w:tcPr>
            <w:tcW w:w="1361" w:type="dxa"/>
            <w:vAlign w:val="center"/>
          </w:tcPr>
          <w:p>
            <w:pPr>
              <w:pStyle w:val="15"/>
            </w:pPr>
            <w:r>
              <w:t>1263.56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1884.14</w:t>
            </w:r>
          </w:p>
        </w:tc>
        <w:tc>
          <w:tcPr>
            <w:tcW w:w="1361" w:type="dxa"/>
            <w:vAlign w:val="center"/>
          </w:tcPr>
          <w:p>
            <w:pPr>
              <w:pStyle w:val="11"/>
            </w:pPr>
            <w:r>
              <w:t>630.58</w:t>
            </w:r>
          </w:p>
        </w:tc>
        <w:tc>
          <w:tcPr>
            <w:tcW w:w="1361" w:type="dxa"/>
            <w:vAlign w:val="center"/>
          </w:tcPr>
          <w:p>
            <w:pPr>
              <w:pStyle w:val="11"/>
            </w:pPr>
            <w:r>
              <w:t>1253.56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1"/>
            </w:pPr>
            <w:r>
              <w:t>1884.14</w:t>
            </w:r>
          </w:p>
        </w:tc>
        <w:tc>
          <w:tcPr>
            <w:tcW w:w="1361" w:type="dxa"/>
            <w:vAlign w:val="center"/>
          </w:tcPr>
          <w:p>
            <w:pPr>
              <w:pStyle w:val="11"/>
            </w:pPr>
            <w:r>
              <w:t>630.58</w:t>
            </w:r>
          </w:p>
        </w:tc>
        <w:tc>
          <w:tcPr>
            <w:tcW w:w="1361" w:type="dxa"/>
            <w:vAlign w:val="center"/>
          </w:tcPr>
          <w:p>
            <w:pPr>
              <w:pStyle w:val="11"/>
            </w:pPr>
            <w:r>
              <w:t>1253.56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2060101</w:t>
            </w:r>
          </w:p>
        </w:tc>
        <w:tc>
          <w:tcPr>
            <w:tcW w:w="4535" w:type="dxa"/>
            <w:vAlign w:val="center"/>
          </w:tcPr>
          <w:p>
            <w:pPr>
              <w:pStyle w:val="12"/>
            </w:pPr>
            <w:r>
              <w:t>行政运行</w:t>
            </w:r>
          </w:p>
        </w:tc>
        <w:tc>
          <w:tcPr>
            <w:tcW w:w="1361" w:type="dxa"/>
            <w:vAlign w:val="center"/>
          </w:tcPr>
          <w:p>
            <w:pPr>
              <w:pStyle w:val="11"/>
            </w:pPr>
            <w:r>
              <w:t>630.58</w:t>
            </w:r>
          </w:p>
        </w:tc>
        <w:tc>
          <w:tcPr>
            <w:tcW w:w="1361" w:type="dxa"/>
            <w:vAlign w:val="center"/>
          </w:tcPr>
          <w:p>
            <w:pPr>
              <w:pStyle w:val="11"/>
            </w:pPr>
            <w:r>
              <w:t>630.58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2060102</w:t>
            </w:r>
          </w:p>
        </w:tc>
        <w:tc>
          <w:tcPr>
            <w:tcW w:w="4535" w:type="dxa"/>
            <w:vAlign w:val="center"/>
          </w:tcPr>
          <w:p>
            <w:pPr>
              <w:pStyle w:val="12"/>
            </w:pPr>
            <w:r>
              <w:t>一般行政管理事务</w:t>
            </w:r>
          </w:p>
        </w:tc>
        <w:tc>
          <w:tcPr>
            <w:tcW w:w="1361" w:type="dxa"/>
            <w:vAlign w:val="center"/>
          </w:tcPr>
          <w:p>
            <w:pPr>
              <w:pStyle w:val="11"/>
            </w:pPr>
            <w:r>
              <w:t>1253.56</w:t>
            </w:r>
          </w:p>
        </w:tc>
        <w:tc>
          <w:tcPr>
            <w:tcW w:w="1361" w:type="dxa"/>
            <w:vAlign w:val="center"/>
          </w:tcPr>
          <w:p>
            <w:pPr>
              <w:pStyle w:val="11"/>
            </w:pPr>
          </w:p>
        </w:tc>
        <w:tc>
          <w:tcPr>
            <w:tcW w:w="1361" w:type="dxa"/>
            <w:vAlign w:val="center"/>
          </w:tcPr>
          <w:p>
            <w:pPr>
              <w:pStyle w:val="11"/>
            </w:pPr>
            <w:r>
              <w:t>1253.56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68.77</w:t>
            </w:r>
          </w:p>
        </w:tc>
        <w:tc>
          <w:tcPr>
            <w:tcW w:w="1361" w:type="dxa"/>
            <w:vAlign w:val="center"/>
          </w:tcPr>
          <w:p>
            <w:pPr>
              <w:pStyle w:val="11"/>
            </w:pPr>
            <w:r>
              <w:t>68.77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68.77</w:t>
            </w:r>
          </w:p>
        </w:tc>
        <w:tc>
          <w:tcPr>
            <w:tcW w:w="1361" w:type="dxa"/>
            <w:vAlign w:val="center"/>
          </w:tcPr>
          <w:p>
            <w:pPr>
              <w:pStyle w:val="11"/>
            </w:pPr>
            <w:r>
              <w:t>68.77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7.01</w:t>
            </w:r>
          </w:p>
        </w:tc>
        <w:tc>
          <w:tcPr>
            <w:tcW w:w="1361" w:type="dxa"/>
            <w:vAlign w:val="center"/>
          </w:tcPr>
          <w:p>
            <w:pPr>
              <w:pStyle w:val="11"/>
            </w:pPr>
            <w:r>
              <w:t>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21.21</w:t>
            </w:r>
          </w:p>
        </w:tc>
        <w:tc>
          <w:tcPr>
            <w:tcW w:w="1361" w:type="dxa"/>
            <w:vAlign w:val="center"/>
          </w:tcPr>
          <w:p>
            <w:pPr>
              <w:pStyle w:val="11"/>
            </w:pPr>
            <w:r>
              <w:t>21.21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30.55</w:t>
            </w:r>
          </w:p>
        </w:tc>
        <w:tc>
          <w:tcPr>
            <w:tcW w:w="1361" w:type="dxa"/>
            <w:vAlign w:val="center"/>
          </w:tcPr>
          <w:p>
            <w:pPr>
              <w:pStyle w:val="11"/>
            </w:pPr>
            <w:r>
              <w:t>30.55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30.41</w:t>
            </w:r>
          </w:p>
        </w:tc>
        <w:tc>
          <w:tcPr>
            <w:tcW w:w="1361" w:type="dxa"/>
            <w:vAlign w:val="center"/>
          </w:tcPr>
          <w:p>
            <w:pPr>
              <w:pStyle w:val="11"/>
            </w:pPr>
            <w:r>
              <w:t>30.41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30.41</w:t>
            </w:r>
          </w:p>
        </w:tc>
        <w:tc>
          <w:tcPr>
            <w:tcW w:w="1361" w:type="dxa"/>
            <w:vAlign w:val="center"/>
          </w:tcPr>
          <w:p>
            <w:pPr>
              <w:pStyle w:val="11"/>
            </w:pPr>
            <w:r>
              <w:t>30.41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1.54</w:t>
            </w:r>
          </w:p>
        </w:tc>
        <w:tc>
          <w:tcPr>
            <w:tcW w:w="1361" w:type="dxa"/>
            <w:vAlign w:val="center"/>
          </w:tcPr>
          <w:p>
            <w:pPr>
              <w:pStyle w:val="11"/>
            </w:pPr>
            <w:r>
              <w:t>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12.40</w:t>
            </w:r>
          </w:p>
        </w:tc>
        <w:tc>
          <w:tcPr>
            <w:tcW w:w="1361" w:type="dxa"/>
            <w:vAlign w:val="center"/>
          </w:tcPr>
          <w:p>
            <w:pPr>
              <w:pStyle w:val="11"/>
            </w:pPr>
            <w:r>
              <w:t>12.40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16.47</w:t>
            </w:r>
          </w:p>
        </w:tc>
        <w:tc>
          <w:tcPr>
            <w:tcW w:w="1361" w:type="dxa"/>
            <w:vAlign w:val="center"/>
          </w:tcPr>
          <w:p>
            <w:pPr>
              <w:pStyle w:val="11"/>
            </w:pPr>
            <w:r>
              <w:t>16.47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26.00</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26.00</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26.00</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6" w:name="_Toc9537_WPSOffice_Level1"/>
      <w:r>
        <w:rPr>
          <w:rFonts w:ascii="方正小标宋_GBK" w:hAnsi="方正小标宋_GBK" w:eastAsia="方正小标宋_GBK" w:cs="方正小标宋_GBK"/>
          <w:color w:val="000000"/>
          <w:sz w:val="36"/>
        </w:rPr>
        <w:t>单位预算财政拨款收支总表</w:t>
      </w:r>
      <w:bookmarkEnd w:id="26"/>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115001唐山高新技术创业中心（本级）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2019.32</w:t>
            </w:r>
          </w:p>
        </w:tc>
        <w:tc>
          <w:tcPr>
            <w:tcW w:w="3402" w:type="dxa"/>
            <w:vAlign w:val="center"/>
          </w:tcPr>
          <w:p>
            <w:pPr>
              <w:pStyle w:val="12"/>
            </w:pPr>
            <w:r>
              <w:t>一、一般公共服务支出</w:t>
            </w:r>
          </w:p>
        </w:tc>
        <w:tc>
          <w:tcPr>
            <w:tcW w:w="1474" w:type="dxa"/>
            <w:vAlign w:val="center"/>
          </w:tcPr>
          <w:p>
            <w:pPr>
              <w:pStyle w:val="11"/>
            </w:pPr>
            <w:r>
              <w:t>10.00</w:t>
            </w:r>
          </w:p>
        </w:tc>
        <w:tc>
          <w:tcPr>
            <w:tcW w:w="1474" w:type="dxa"/>
            <w:vAlign w:val="center"/>
          </w:tcPr>
          <w:p>
            <w:pPr>
              <w:pStyle w:val="11"/>
            </w:pPr>
            <w:r>
              <w:t>10.00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1884.14</w:t>
            </w:r>
          </w:p>
        </w:tc>
        <w:tc>
          <w:tcPr>
            <w:tcW w:w="1474" w:type="dxa"/>
            <w:vAlign w:val="center"/>
          </w:tcPr>
          <w:p>
            <w:pPr>
              <w:pStyle w:val="11"/>
            </w:pPr>
            <w:r>
              <w:t>1884.14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68.77</w:t>
            </w:r>
          </w:p>
        </w:tc>
        <w:tc>
          <w:tcPr>
            <w:tcW w:w="1474" w:type="dxa"/>
            <w:vAlign w:val="center"/>
          </w:tcPr>
          <w:p>
            <w:pPr>
              <w:pStyle w:val="11"/>
            </w:pPr>
            <w:r>
              <w:t>68.77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30.41</w:t>
            </w:r>
          </w:p>
        </w:tc>
        <w:tc>
          <w:tcPr>
            <w:tcW w:w="1474" w:type="dxa"/>
            <w:vAlign w:val="center"/>
          </w:tcPr>
          <w:p>
            <w:pPr>
              <w:pStyle w:val="11"/>
            </w:pPr>
            <w:r>
              <w:t>30.41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26.00</w:t>
            </w:r>
          </w:p>
        </w:tc>
        <w:tc>
          <w:tcPr>
            <w:tcW w:w="1474" w:type="dxa"/>
            <w:vAlign w:val="center"/>
          </w:tcPr>
          <w:p>
            <w:pPr>
              <w:pStyle w:val="11"/>
            </w:pPr>
            <w:r>
              <w:t>26.00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2019.32</w:t>
            </w:r>
          </w:p>
        </w:tc>
        <w:tc>
          <w:tcPr>
            <w:tcW w:w="3402" w:type="dxa"/>
            <w:vAlign w:val="center"/>
          </w:tcPr>
          <w:p>
            <w:pPr>
              <w:pStyle w:val="14"/>
            </w:pPr>
            <w:r>
              <w:t>本年支出合计</w:t>
            </w:r>
          </w:p>
        </w:tc>
        <w:tc>
          <w:tcPr>
            <w:tcW w:w="1474" w:type="dxa"/>
            <w:vAlign w:val="center"/>
          </w:tcPr>
          <w:p>
            <w:pPr>
              <w:pStyle w:val="15"/>
            </w:pPr>
            <w:r>
              <w:t>2019.32</w:t>
            </w:r>
          </w:p>
        </w:tc>
        <w:tc>
          <w:tcPr>
            <w:tcW w:w="1474" w:type="dxa"/>
            <w:vAlign w:val="center"/>
          </w:tcPr>
          <w:p>
            <w:pPr>
              <w:pStyle w:val="15"/>
            </w:pPr>
            <w:r>
              <w:t>2019.32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2019.32</w:t>
            </w:r>
          </w:p>
        </w:tc>
        <w:tc>
          <w:tcPr>
            <w:tcW w:w="3402" w:type="dxa"/>
            <w:vAlign w:val="center"/>
          </w:tcPr>
          <w:p>
            <w:pPr>
              <w:pStyle w:val="14"/>
            </w:pPr>
            <w:r>
              <w:t>支出总计</w:t>
            </w:r>
          </w:p>
        </w:tc>
        <w:tc>
          <w:tcPr>
            <w:tcW w:w="1474" w:type="dxa"/>
            <w:vAlign w:val="center"/>
          </w:tcPr>
          <w:p>
            <w:pPr>
              <w:pStyle w:val="15"/>
            </w:pPr>
            <w:r>
              <w:t>2019.32</w:t>
            </w:r>
          </w:p>
        </w:tc>
        <w:tc>
          <w:tcPr>
            <w:tcW w:w="1474" w:type="dxa"/>
            <w:vAlign w:val="center"/>
          </w:tcPr>
          <w:p>
            <w:pPr>
              <w:pStyle w:val="15"/>
            </w:pPr>
            <w:r>
              <w:t>2019.32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7" w:name="_Toc18601_WPSOffice_Level1"/>
      <w:r>
        <w:rPr>
          <w:rFonts w:ascii="方正小标宋_GBK" w:hAnsi="方正小标宋_GBK" w:eastAsia="方正小标宋_GBK" w:cs="方正小标宋_GBK"/>
          <w:color w:val="000000"/>
          <w:sz w:val="36"/>
        </w:rPr>
        <w:t>单位预算一般公共预算财政拨款支出表</w:t>
      </w:r>
      <w:bookmarkEnd w:id="27"/>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115001唐山高新技术创业中心（本级）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2019.32</w:t>
            </w:r>
          </w:p>
        </w:tc>
        <w:tc>
          <w:tcPr>
            <w:tcW w:w="2551" w:type="dxa"/>
            <w:vAlign w:val="center"/>
          </w:tcPr>
          <w:p>
            <w:pPr>
              <w:pStyle w:val="15"/>
            </w:pPr>
            <w:r>
              <w:t>755.76</w:t>
            </w:r>
          </w:p>
        </w:tc>
        <w:tc>
          <w:tcPr>
            <w:tcW w:w="2551" w:type="dxa"/>
            <w:vAlign w:val="center"/>
          </w:tcPr>
          <w:p>
            <w:pPr>
              <w:pStyle w:val="15"/>
            </w:pPr>
            <w:r>
              <w:t>1263.56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1884.14</w:t>
            </w:r>
          </w:p>
        </w:tc>
        <w:tc>
          <w:tcPr>
            <w:tcW w:w="2551" w:type="dxa"/>
            <w:vAlign w:val="center"/>
          </w:tcPr>
          <w:p>
            <w:pPr>
              <w:pStyle w:val="11"/>
            </w:pPr>
            <w:r>
              <w:t>630.58</w:t>
            </w:r>
          </w:p>
        </w:tc>
        <w:tc>
          <w:tcPr>
            <w:tcW w:w="2551" w:type="dxa"/>
            <w:vAlign w:val="center"/>
          </w:tcPr>
          <w:p>
            <w:pPr>
              <w:pStyle w:val="11"/>
            </w:pPr>
            <w:r>
              <w:t>1253.56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1"/>
            </w:pPr>
            <w:r>
              <w:t>1884.14</w:t>
            </w:r>
          </w:p>
        </w:tc>
        <w:tc>
          <w:tcPr>
            <w:tcW w:w="2551" w:type="dxa"/>
            <w:vAlign w:val="center"/>
          </w:tcPr>
          <w:p>
            <w:pPr>
              <w:pStyle w:val="11"/>
            </w:pPr>
            <w:r>
              <w:t>630.58</w:t>
            </w:r>
          </w:p>
        </w:tc>
        <w:tc>
          <w:tcPr>
            <w:tcW w:w="2551" w:type="dxa"/>
            <w:vAlign w:val="center"/>
          </w:tcPr>
          <w:p>
            <w:pPr>
              <w:pStyle w:val="11"/>
            </w:pPr>
            <w:r>
              <w:t>1253.56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2060101</w:t>
            </w:r>
          </w:p>
        </w:tc>
        <w:tc>
          <w:tcPr>
            <w:tcW w:w="4535" w:type="dxa"/>
            <w:vAlign w:val="center"/>
          </w:tcPr>
          <w:p>
            <w:pPr>
              <w:pStyle w:val="12"/>
            </w:pPr>
            <w:r>
              <w:t>行政运行</w:t>
            </w:r>
          </w:p>
        </w:tc>
        <w:tc>
          <w:tcPr>
            <w:tcW w:w="2551" w:type="dxa"/>
            <w:vAlign w:val="center"/>
          </w:tcPr>
          <w:p>
            <w:pPr>
              <w:pStyle w:val="11"/>
            </w:pPr>
            <w:r>
              <w:t>630.58</w:t>
            </w:r>
          </w:p>
        </w:tc>
        <w:tc>
          <w:tcPr>
            <w:tcW w:w="2551" w:type="dxa"/>
            <w:vAlign w:val="center"/>
          </w:tcPr>
          <w:p>
            <w:pPr>
              <w:pStyle w:val="11"/>
            </w:pPr>
            <w:r>
              <w:t>630.58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2060102</w:t>
            </w:r>
          </w:p>
        </w:tc>
        <w:tc>
          <w:tcPr>
            <w:tcW w:w="4535" w:type="dxa"/>
            <w:vAlign w:val="center"/>
          </w:tcPr>
          <w:p>
            <w:pPr>
              <w:pStyle w:val="12"/>
            </w:pPr>
            <w:r>
              <w:t>一般行政管理事务</w:t>
            </w:r>
          </w:p>
        </w:tc>
        <w:tc>
          <w:tcPr>
            <w:tcW w:w="2551" w:type="dxa"/>
            <w:vAlign w:val="center"/>
          </w:tcPr>
          <w:p>
            <w:pPr>
              <w:pStyle w:val="11"/>
            </w:pPr>
            <w:r>
              <w:t>1253.56</w:t>
            </w:r>
          </w:p>
        </w:tc>
        <w:tc>
          <w:tcPr>
            <w:tcW w:w="2551" w:type="dxa"/>
            <w:vAlign w:val="center"/>
          </w:tcPr>
          <w:p>
            <w:pPr>
              <w:pStyle w:val="11"/>
            </w:pPr>
          </w:p>
        </w:tc>
        <w:tc>
          <w:tcPr>
            <w:tcW w:w="2551" w:type="dxa"/>
            <w:vAlign w:val="center"/>
          </w:tcPr>
          <w:p>
            <w:pPr>
              <w:pStyle w:val="11"/>
            </w:pPr>
            <w:r>
              <w:t>1253.56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68.77</w:t>
            </w:r>
          </w:p>
        </w:tc>
        <w:tc>
          <w:tcPr>
            <w:tcW w:w="2551" w:type="dxa"/>
            <w:vAlign w:val="center"/>
          </w:tcPr>
          <w:p>
            <w:pPr>
              <w:pStyle w:val="11"/>
            </w:pPr>
            <w:r>
              <w:t>68.77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68.77</w:t>
            </w:r>
          </w:p>
        </w:tc>
        <w:tc>
          <w:tcPr>
            <w:tcW w:w="2551" w:type="dxa"/>
            <w:vAlign w:val="center"/>
          </w:tcPr>
          <w:p>
            <w:pPr>
              <w:pStyle w:val="11"/>
            </w:pPr>
            <w:r>
              <w:t>68.77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7.01</w:t>
            </w:r>
          </w:p>
        </w:tc>
        <w:tc>
          <w:tcPr>
            <w:tcW w:w="2551" w:type="dxa"/>
            <w:vAlign w:val="center"/>
          </w:tcPr>
          <w:p>
            <w:pPr>
              <w:pStyle w:val="11"/>
            </w:pPr>
            <w:r>
              <w:t>7.01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21.21</w:t>
            </w:r>
          </w:p>
        </w:tc>
        <w:tc>
          <w:tcPr>
            <w:tcW w:w="2551" w:type="dxa"/>
            <w:vAlign w:val="center"/>
          </w:tcPr>
          <w:p>
            <w:pPr>
              <w:pStyle w:val="11"/>
            </w:pPr>
            <w:r>
              <w:t>21.21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30.55</w:t>
            </w:r>
          </w:p>
        </w:tc>
        <w:tc>
          <w:tcPr>
            <w:tcW w:w="2551" w:type="dxa"/>
            <w:vAlign w:val="center"/>
          </w:tcPr>
          <w:p>
            <w:pPr>
              <w:pStyle w:val="11"/>
            </w:pPr>
            <w:r>
              <w:t>30.55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30.41</w:t>
            </w:r>
          </w:p>
        </w:tc>
        <w:tc>
          <w:tcPr>
            <w:tcW w:w="2551" w:type="dxa"/>
            <w:vAlign w:val="center"/>
          </w:tcPr>
          <w:p>
            <w:pPr>
              <w:pStyle w:val="11"/>
            </w:pPr>
            <w:r>
              <w:t>30.41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30.41</w:t>
            </w:r>
          </w:p>
        </w:tc>
        <w:tc>
          <w:tcPr>
            <w:tcW w:w="2551" w:type="dxa"/>
            <w:vAlign w:val="center"/>
          </w:tcPr>
          <w:p>
            <w:pPr>
              <w:pStyle w:val="11"/>
            </w:pPr>
            <w:r>
              <w:t>30.41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1.54</w:t>
            </w:r>
          </w:p>
        </w:tc>
        <w:tc>
          <w:tcPr>
            <w:tcW w:w="2551" w:type="dxa"/>
            <w:vAlign w:val="center"/>
          </w:tcPr>
          <w:p>
            <w:pPr>
              <w:pStyle w:val="11"/>
            </w:pPr>
            <w:r>
              <w:t>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12.40</w:t>
            </w:r>
          </w:p>
        </w:tc>
        <w:tc>
          <w:tcPr>
            <w:tcW w:w="2551" w:type="dxa"/>
            <w:vAlign w:val="center"/>
          </w:tcPr>
          <w:p>
            <w:pPr>
              <w:pStyle w:val="11"/>
            </w:pPr>
            <w:r>
              <w:t>12.40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16.47</w:t>
            </w:r>
          </w:p>
        </w:tc>
        <w:tc>
          <w:tcPr>
            <w:tcW w:w="2551" w:type="dxa"/>
            <w:vAlign w:val="center"/>
          </w:tcPr>
          <w:p>
            <w:pPr>
              <w:pStyle w:val="11"/>
            </w:pPr>
            <w:r>
              <w:t>16.47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8" w:name="_Toc25322_WPSOffice_Level1"/>
      <w:r>
        <w:rPr>
          <w:rFonts w:ascii="方正小标宋_GBK" w:hAnsi="方正小标宋_GBK" w:eastAsia="方正小标宋_GBK" w:cs="方正小标宋_GBK"/>
          <w:color w:val="000000"/>
          <w:sz w:val="36"/>
        </w:rPr>
        <w:t>单位预算一般公共预算财政拨款基本支出表</w:t>
      </w:r>
      <w:bookmarkEnd w:id="28"/>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115001唐山高新技术创业中心（本级）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755.76</w:t>
            </w:r>
          </w:p>
        </w:tc>
        <w:tc>
          <w:tcPr>
            <w:tcW w:w="2551" w:type="dxa"/>
            <w:vAlign w:val="center"/>
          </w:tcPr>
          <w:p>
            <w:pPr>
              <w:pStyle w:val="15"/>
            </w:pPr>
            <w:r>
              <w:t>380.20</w:t>
            </w:r>
          </w:p>
        </w:tc>
        <w:tc>
          <w:tcPr>
            <w:tcW w:w="2551" w:type="dxa"/>
            <w:vAlign w:val="center"/>
          </w:tcPr>
          <w:p>
            <w:pPr>
              <w:pStyle w:val="15"/>
            </w:pPr>
            <w:r>
              <w:t>375.56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351.98</w:t>
            </w:r>
          </w:p>
        </w:tc>
        <w:tc>
          <w:tcPr>
            <w:tcW w:w="2551" w:type="dxa"/>
            <w:vAlign w:val="center"/>
          </w:tcPr>
          <w:p>
            <w:pPr>
              <w:pStyle w:val="11"/>
            </w:pPr>
            <w:r>
              <w:t>351.98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81.70</w:t>
            </w:r>
          </w:p>
        </w:tc>
        <w:tc>
          <w:tcPr>
            <w:tcW w:w="2551" w:type="dxa"/>
            <w:vAlign w:val="center"/>
          </w:tcPr>
          <w:p>
            <w:pPr>
              <w:pStyle w:val="11"/>
            </w:pPr>
            <w:r>
              <w:t>81.70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22.22</w:t>
            </w:r>
          </w:p>
        </w:tc>
        <w:tc>
          <w:tcPr>
            <w:tcW w:w="2551" w:type="dxa"/>
            <w:vAlign w:val="center"/>
          </w:tcPr>
          <w:p>
            <w:pPr>
              <w:pStyle w:val="11"/>
            </w:pPr>
            <w:r>
              <w:t>22.22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6.58</w:t>
            </w:r>
          </w:p>
        </w:tc>
        <w:tc>
          <w:tcPr>
            <w:tcW w:w="2551" w:type="dxa"/>
            <w:vAlign w:val="center"/>
          </w:tcPr>
          <w:p>
            <w:pPr>
              <w:pStyle w:val="11"/>
            </w:pPr>
            <w:r>
              <w:t>6.58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128.78</w:t>
            </w:r>
          </w:p>
        </w:tc>
        <w:tc>
          <w:tcPr>
            <w:tcW w:w="2551" w:type="dxa"/>
            <w:vAlign w:val="center"/>
          </w:tcPr>
          <w:p>
            <w:pPr>
              <w:pStyle w:val="11"/>
            </w:pPr>
            <w:r>
              <w:t>128.78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30.55</w:t>
            </w:r>
          </w:p>
        </w:tc>
        <w:tc>
          <w:tcPr>
            <w:tcW w:w="2551" w:type="dxa"/>
            <w:vAlign w:val="center"/>
          </w:tcPr>
          <w:p>
            <w:pPr>
              <w:pStyle w:val="11"/>
            </w:pPr>
            <w:r>
              <w:t>30.55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13.94</w:t>
            </w:r>
          </w:p>
        </w:tc>
        <w:tc>
          <w:tcPr>
            <w:tcW w:w="2551" w:type="dxa"/>
            <w:vAlign w:val="center"/>
          </w:tcPr>
          <w:p>
            <w:pPr>
              <w:pStyle w:val="11"/>
            </w:pPr>
            <w:r>
              <w:t>13.94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15.28</w:t>
            </w:r>
          </w:p>
        </w:tc>
        <w:tc>
          <w:tcPr>
            <w:tcW w:w="2551" w:type="dxa"/>
            <w:vAlign w:val="center"/>
          </w:tcPr>
          <w:p>
            <w:pPr>
              <w:pStyle w:val="11"/>
            </w:pPr>
            <w:r>
              <w:t>15.28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2.63</w:t>
            </w:r>
          </w:p>
        </w:tc>
        <w:tc>
          <w:tcPr>
            <w:tcW w:w="2551" w:type="dxa"/>
            <w:vAlign w:val="center"/>
          </w:tcPr>
          <w:p>
            <w:pPr>
              <w:pStyle w:val="11"/>
            </w:pPr>
            <w:r>
              <w:t>2.63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14.30</w:t>
            </w:r>
          </w:p>
        </w:tc>
        <w:tc>
          <w:tcPr>
            <w:tcW w:w="2551" w:type="dxa"/>
            <w:vAlign w:val="center"/>
          </w:tcPr>
          <w:p>
            <w:pPr>
              <w:pStyle w:val="11"/>
            </w:pPr>
            <w:r>
              <w:t>14.30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375.56</w:t>
            </w:r>
          </w:p>
        </w:tc>
        <w:tc>
          <w:tcPr>
            <w:tcW w:w="2551" w:type="dxa"/>
            <w:vAlign w:val="center"/>
          </w:tcPr>
          <w:p>
            <w:pPr>
              <w:pStyle w:val="11"/>
            </w:pPr>
          </w:p>
        </w:tc>
        <w:tc>
          <w:tcPr>
            <w:tcW w:w="2551" w:type="dxa"/>
            <w:vAlign w:val="center"/>
          </w:tcPr>
          <w:p>
            <w:pPr>
              <w:pStyle w:val="11"/>
            </w:pPr>
            <w:r>
              <w:t>375.56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2.85</w:t>
            </w:r>
          </w:p>
        </w:tc>
        <w:tc>
          <w:tcPr>
            <w:tcW w:w="2551" w:type="dxa"/>
            <w:vAlign w:val="center"/>
          </w:tcPr>
          <w:p>
            <w:pPr>
              <w:pStyle w:val="11"/>
            </w:pPr>
          </w:p>
        </w:tc>
        <w:tc>
          <w:tcPr>
            <w:tcW w:w="2551" w:type="dxa"/>
            <w:vAlign w:val="center"/>
          </w:tcPr>
          <w:p>
            <w:pPr>
              <w:pStyle w:val="11"/>
            </w:pPr>
            <w:r>
              <w:t>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265.00</w:t>
            </w:r>
          </w:p>
        </w:tc>
        <w:tc>
          <w:tcPr>
            <w:tcW w:w="2551" w:type="dxa"/>
            <w:vAlign w:val="center"/>
          </w:tcPr>
          <w:p>
            <w:pPr>
              <w:pStyle w:val="11"/>
            </w:pPr>
          </w:p>
        </w:tc>
        <w:tc>
          <w:tcPr>
            <w:tcW w:w="2551" w:type="dxa"/>
            <w:vAlign w:val="center"/>
          </w:tcPr>
          <w:p>
            <w:pPr>
              <w:pStyle w:val="11"/>
            </w:pPr>
            <w:r>
              <w:t>265.00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0.98</w:t>
            </w:r>
          </w:p>
        </w:tc>
        <w:tc>
          <w:tcPr>
            <w:tcW w:w="2551" w:type="dxa"/>
            <w:vAlign w:val="center"/>
          </w:tcPr>
          <w:p>
            <w:pPr>
              <w:pStyle w:val="11"/>
            </w:pPr>
          </w:p>
        </w:tc>
        <w:tc>
          <w:tcPr>
            <w:tcW w:w="2551" w:type="dxa"/>
            <w:vAlign w:val="center"/>
          </w:tcPr>
          <w:p>
            <w:pPr>
              <w:pStyle w:val="11"/>
            </w:pPr>
            <w:r>
              <w:t>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3.64</w:t>
            </w:r>
          </w:p>
        </w:tc>
        <w:tc>
          <w:tcPr>
            <w:tcW w:w="2551" w:type="dxa"/>
            <w:vAlign w:val="center"/>
          </w:tcPr>
          <w:p>
            <w:pPr>
              <w:pStyle w:val="11"/>
            </w:pPr>
          </w:p>
        </w:tc>
        <w:tc>
          <w:tcPr>
            <w:tcW w:w="2551" w:type="dxa"/>
            <w:vAlign w:val="center"/>
          </w:tcPr>
          <w:p>
            <w:pPr>
              <w:pStyle w:val="11"/>
            </w:pPr>
            <w:r>
              <w:t>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0.19</w:t>
            </w:r>
          </w:p>
        </w:tc>
        <w:tc>
          <w:tcPr>
            <w:tcW w:w="2551" w:type="dxa"/>
            <w:vAlign w:val="center"/>
          </w:tcPr>
          <w:p>
            <w:pPr>
              <w:pStyle w:val="11"/>
            </w:pPr>
          </w:p>
        </w:tc>
        <w:tc>
          <w:tcPr>
            <w:tcW w:w="2551"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28.22</w:t>
            </w:r>
          </w:p>
        </w:tc>
        <w:tc>
          <w:tcPr>
            <w:tcW w:w="2551" w:type="dxa"/>
            <w:vAlign w:val="center"/>
          </w:tcPr>
          <w:p>
            <w:pPr>
              <w:pStyle w:val="11"/>
            </w:pPr>
            <w:r>
              <w:t>28.22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28.22</w:t>
            </w:r>
          </w:p>
        </w:tc>
        <w:tc>
          <w:tcPr>
            <w:tcW w:w="2551" w:type="dxa"/>
            <w:vAlign w:val="center"/>
          </w:tcPr>
          <w:p>
            <w:pPr>
              <w:pStyle w:val="11"/>
            </w:pPr>
            <w:r>
              <w:t>28.22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9" w:name="_Toc21615_WPSOffice_Level1"/>
      <w:r>
        <w:rPr>
          <w:rFonts w:ascii="方正小标宋_GBK" w:hAnsi="方正小标宋_GBK" w:eastAsia="方正小标宋_GBK" w:cs="方正小标宋_GBK"/>
          <w:color w:val="000000"/>
          <w:sz w:val="36"/>
        </w:rPr>
        <w:t>单位预算政府性基金预算财政拨款支出表</w:t>
      </w:r>
      <w:bookmarkEnd w:id="29"/>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115001唐山高新技术创业中心（本级）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bookmarkStart w:id="30" w:name="_Toc5620_WPSOffice_Level1"/>
      <w:r>
        <w:rPr>
          <w:rFonts w:ascii="方正小标宋_GBK" w:hAnsi="方正小标宋_GBK" w:eastAsia="方正小标宋_GBK" w:cs="方正小标宋_GBK"/>
          <w:color w:val="000000"/>
          <w:sz w:val="36"/>
        </w:rPr>
        <w:t>单位预算国有资本经营预算财政拨款支出表</w:t>
      </w:r>
      <w:bookmarkEnd w:id="30"/>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115001唐山高新技术创业中心（本级）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bookmarkStart w:id="31" w:name="_Toc19031_WPSOffice_Level1"/>
      <w:r>
        <w:rPr>
          <w:rFonts w:ascii="方正小标宋_GBK" w:hAnsi="方正小标宋_GBK" w:eastAsia="方正小标宋_GBK" w:cs="方正小标宋_GBK"/>
          <w:color w:val="000000"/>
          <w:sz w:val="36"/>
        </w:rPr>
        <w:t>单位预算财政拨款“三公”经费支出表</w:t>
      </w:r>
      <w:bookmarkEnd w:id="31"/>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115001唐山高新技术创业中心（本级）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1.98</w:t>
            </w:r>
          </w:p>
        </w:tc>
        <w:tc>
          <w:tcPr>
            <w:tcW w:w="2381" w:type="dxa"/>
            <w:vAlign w:val="center"/>
          </w:tcPr>
          <w:p>
            <w:pPr>
              <w:pStyle w:val="15"/>
            </w:pPr>
            <w:r>
              <w:t>1.98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1.98</w:t>
            </w:r>
          </w:p>
        </w:tc>
        <w:tc>
          <w:tcPr>
            <w:tcW w:w="2381" w:type="dxa"/>
            <w:vAlign w:val="center"/>
          </w:tcPr>
          <w:p>
            <w:pPr>
              <w:pStyle w:val="11"/>
            </w:pPr>
            <w:r>
              <w:t>1.98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0.98</w:t>
            </w:r>
          </w:p>
        </w:tc>
        <w:tc>
          <w:tcPr>
            <w:tcW w:w="2381" w:type="dxa"/>
            <w:vAlign w:val="center"/>
          </w:tcPr>
          <w:p>
            <w:pPr>
              <w:pStyle w:val="11"/>
            </w:pPr>
            <w:r>
              <w:t>0.98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唐山高新技术创业中心（本级）2025年单位预算信息公开情况说明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按照《中华人民共和国预算法》、《地方预决算公开操作规程》和《关于进一步推进预算公开工作的实施意见》规定，现将唐山高新技术创业中心（本级）2025年单位预算公开如下：</w:t>
      </w:r>
    </w:p>
    <w:p>
      <w:pPr>
        <w:spacing w:before="10" w:after="10" w:line="240" w:lineRule="auto"/>
        <w:ind w:firstLine="640"/>
        <w:jc w:val="left"/>
        <w:outlineLvl w:val="5"/>
      </w:pPr>
      <w:bookmarkStart w:id="32" w:name="_Toc20682_WPSOffice_Level1"/>
      <w:r>
        <w:rPr>
          <w:rFonts w:ascii="黑体" w:hAnsi="黑体" w:eastAsia="黑体" w:cs="黑体"/>
          <w:color w:val="000000"/>
          <w:sz w:val="32"/>
        </w:rPr>
        <w:t>一、单位职责及机构设置情况</w:t>
      </w:r>
      <w:bookmarkEnd w:id="32"/>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我单位共下设5个部门，分别是综合业务部、企业服务部、招商服务部、对外合作部、物业服务部、金融服务部。</w:t>
      </w:r>
    </w:p>
    <w:p>
      <w:pPr>
        <w:pStyle w:val="17"/>
      </w:pPr>
      <w:r>
        <w:t>综合业务部：负责中心日常行政事务，主要包括：根据中心领导的安排，通知、准备、召集各种会议，同时做好会议记录，整理会议纪要，检查会议决议的实施；负责编写、修订和保管中心各项规章制度和文件，组织规章制度的培训，检查各项制度的贯彻落实情况；负责中心各项工作的规划、总结及报告，以及文件的打印、上报、发放、存档和保管；负责中心宣传和信息收集与交流工作，负责报刊订阅；接待外来人员来访，协调中心各部门行政管理工作；负责党群工作；负责中心印章的使用和保管；负责中心财务和保险工作；负责中心办公用品的采购和办公设备的维修；负责中心固定资产账务；负责中心考勤表、值班表的编制报送；负责中心证照的年检。</w:t>
      </w:r>
    </w:p>
    <w:p>
      <w:pPr>
        <w:pStyle w:val="17"/>
      </w:pPr>
      <w:r>
        <w:t>企业服务部：协助入驻企业做好高新技术企业、科技型中小企业的认定、复审工作；了解入驻企业的经营情况，组织企业填报科技部火炬中心统计报表，并做好收集、汇总、上报工作； 组织入驻企业申报各级、各类计划项目；组织入驻企业参加培训、银企对接、参展等活动；协助入驻企业与政府及相关部门的沟通联系。</w:t>
      </w:r>
    </w:p>
    <w:p>
      <w:pPr>
        <w:pStyle w:val="17"/>
      </w:pPr>
      <w:r>
        <w:t>招商服务部：负责创业中心招商工作，筛选符合创业中心入驻标准的企业进驻；负责入驻创业中心的项目洽谈和进驻企业的指导性管理；组织审核入驻中心的孵化项目；负责与企业签订孵化管理协议；建立并管理入驻企业和项目的资料及档案；负责协助企业办理毕业和退出的工作；</w:t>
      </w:r>
    </w:p>
    <w:p>
      <w:pPr>
        <w:pStyle w:val="17"/>
      </w:pPr>
      <w:r>
        <w:t>对外合作部：引导企业、高校的存量设施和场地建设创新创业孵化载体。辅导区内孵化器、众创空间扩大服务范围，提升服务质量，积极申报更高级载体称号。</w:t>
      </w:r>
    </w:p>
    <w:p>
      <w:pPr>
        <w:pStyle w:val="17"/>
      </w:pPr>
      <w:r>
        <w:t>物业服务部：负责中心及企业安全生产及消防安全监督管理；负责入驻企业水、电、暖等生产要素配套工作，促进企业尽快落地；负责企业入驻、装修及退出手续办理工作；负责中心所属楼宇零星修缮及设备设施维护保养等管理工作；督导、考核物业公司保安、保洁、维修服务等相关工作；做好管委会及上级部门交办的参观、调研等活动接待工作；负责支付创业中心租赁楼宇的房租、税费等工作；负责企业房租租赁合同的签订、房租及物业费收取工作；负责支付中心水电暖缴费工作；完成领导交办的其他工作。</w:t>
      </w:r>
    </w:p>
    <w:p>
      <w:pPr>
        <w:pStyle w:val="17"/>
      </w:pPr>
      <w:r>
        <w:t>金融服务部:管理运营孵化基金，推进银企对接，引进投资机构，帮助中小科技企业解决发展难题</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唐山高新技术创业中心（本级）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bookmarkStart w:id="33" w:name="_Toc26442_WPSOffice_Level1"/>
      <w:r>
        <w:rPr>
          <w:rFonts w:ascii="黑体" w:hAnsi="黑体" w:eastAsia="黑体" w:cs="黑体"/>
          <w:color w:val="000000"/>
          <w:sz w:val="32"/>
        </w:rPr>
        <w:t>二、单位预算安排的总体情况</w:t>
      </w:r>
      <w:bookmarkEnd w:id="33"/>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2019.32万元，其中：一般公共预算收入2019.32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高新技术创业中心（本级）年度单位预算中支出预算的总体情况。2025年支出预算2019.32万元，其中基本支出755.76万元，包括人员经费380.20万元和日常公用经费375.56万元；项目支出1263.56万元，主要为孵化器房屋租赁费1020万元,;唐山机器人展示体验中心运营服务费67.5万元;维修费30万元;物业外包服务费;136.06万元招商费10万元。</w:t>
      </w:r>
    </w:p>
    <w:p>
      <w:pPr>
        <w:pStyle w:val="18"/>
      </w:pPr>
      <w:r>
        <w:t>3、比上年增减情况</w:t>
      </w:r>
    </w:p>
    <w:p>
      <w:pPr>
        <w:pStyle w:val="18"/>
      </w:pPr>
      <w:r>
        <w:t>2025年预算收支安排2019.32万元，较2024年预算减少1092.94万元，其中：基本支出增加11.45万元，主要为有人员变动,人员经费增加。项目支出减少1104.39万元，主要为孵化器房屋租赁费、物业外包服务费、维修费照上年度减少。</w:t>
      </w:r>
    </w:p>
    <w:p>
      <w:pPr>
        <w:spacing w:before="10" w:after="10" w:line="240" w:lineRule="auto"/>
        <w:ind w:firstLine="640"/>
        <w:jc w:val="left"/>
        <w:outlineLvl w:val="5"/>
      </w:pPr>
      <w:bookmarkStart w:id="34" w:name="_Toc10292_WPSOffice_Level1"/>
      <w:r>
        <w:rPr>
          <w:rFonts w:ascii="黑体" w:hAnsi="黑体" w:eastAsia="黑体" w:cs="黑体"/>
          <w:color w:val="000000"/>
          <w:sz w:val="32"/>
        </w:rPr>
        <w:t>三、机关运行经费安排情况</w:t>
      </w:r>
      <w:bookmarkEnd w:id="34"/>
    </w:p>
    <w:p>
      <w:pPr>
        <w:pStyle w:val="19"/>
      </w:pPr>
      <w:r>
        <w:t>2025年，我单位机关运行经费共计安排375.56万元，主要用于日常维修、办公用房水电费、办公用房取暖费、办公用房物业管理费等日常运行支出。</w:t>
      </w:r>
    </w:p>
    <w:p>
      <w:pPr>
        <w:spacing w:before="10" w:after="10" w:line="240" w:lineRule="auto"/>
        <w:ind w:firstLine="640"/>
        <w:jc w:val="left"/>
        <w:outlineLvl w:val="5"/>
      </w:pPr>
      <w:bookmarkStart w:id="35" w:name="_Toc4715_WPSOffice_Level1"/>
      <w:r>
        <w:rPr>
          <w:rFonts w:ascii="黑体" w:hAnsi="黑体" w:eastAsia="黑体" w:cs="黑体"/>
          <w:color w:val="000000"/>
          <w:sz w:val="32"/>
        </w:rPr>
        <w:t>四、财政拨款“三公”经费预算情况及增减变化原因</w:t>
      </w:r>
      <w:bookmarkEnd w:id="35"/>
    </w:p>
    <w:p>
      <w:pPr>
        <w:pStyle w:val="20"/>
        <w:rPr>
          <w:rFonts w:hint="eastAsia" w:eastAsia="方正仿宋_GBK"/>
          <w:lang w:eastAsia="zh-CN"/>
        </w:rPr>
      </w:pPr>
      <w:r>
        <w:t>2025年，我单位财政拨款“三公”经费预算安排1.98万元，其中因公出国（境）费0.00万元；公务用车购置及运维费1.00万元（其中：公务用车购置费为0.00万元，公务用车运维费1.00万元)；公务接待费0.98万元。与2024年相比增加0.00万元，无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sectPr>
      </w:pPr>
      <w:bookmarkStart w:id="36" w:name="_Toc24149_WPSOffice_Level1"/>
      <w:r>
        <w:rPr>
          <w:rFonts w:ascii="黑体" w:hAnsi="黑体" w:eastAsia="黑体" w:cs="黑体"/>
          <w:color w:val="000000"/>
          <w:sz w:val="32"/>
        </w:rPr>
        <w:t>五、单位项目预算安排情况及绩效目标</w:t>
      </w:r>
      <w:bookmarkEnd w:id="36"/>
    </w:p>
    <w:p>
      <w:pPr>
        <w:spacing w:before="0" w:after="0"/>
        <w:ind w:firstLine="560"/>
        <w:jc w:val="left"/>
        <w:outlineLvl w:val="9"/>
      </w:pPr>
      <w:r>
        <w:rPr>
          <w:rFonts w:ascii="方正仿宋_GBK" w:hAnsi="方正仿宋_GBK" w:eastAsia="方正仿宋_GBK" w:cs="方正仿宋_GBK"/>
          <w:b/>
          <w:color w:val="000000"/>
          <w:sz w:val="28"/>
        </w:rPr>
        <w:t>1、维修费绩效目标表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13021125P00ADYR10008X</w:t>
            </w:r>
          </w:p>
        </w:tc>
        <w:tc>
          <w:tcPr>
            <w:tcW w:w="2835" w:type="dxa"/>
            <w:vAlign w:val="center"/>
          </w:tcPr>
          <w:p>
            <w:pPr>
              <w:pStyle w:val="10"/>
            </w:pPr>
            <w:r>
              <w:t>项目名称</w:t>
            </w:r>
          </w:p>
        </w:tc>
        <w:tc>
          <w:tcPr>
            <w:tcW w:w="6095" w:type="dxa"/>
            <w:gridSpan w:val="3"/>
            <w:vAlign w:val="center"/>
          </w:tcPr>
          <w:p>
            <w:pPr>
              <w:pStyle w:val="12"/>
            </w:pPr>
            <w:r>
              <w:t>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及时对设备设施等维修、保养，保障创业中心整体正常运转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95%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1.及时对设备设施等维修保养,保障创业中心整体正常运转.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电子大屏等设备设施使用次数</w:t>
            </w:r>
          </w:p>
        </w:tc>
        <w:tc>
          <w:tcPr>
            <w:tcW w:w="5386" w:type="dxa"/>
            <w:vAlign w:val="center"/>
          </w:tcPr>
          <w:p>
            <w:pPr>
              <w:pStyle w:val="12"/>
            </w:pPr>
            <w:r>
              <w:t>电子大屏等设备设施使用次数</w:t>
            </w:r>
          </w:p>
        </w:tc>
        <w:tc>
          <w:tcPr>
            <w:tcW w:w="2268" w:type="dxa"/>
            <w:vAlign w:val="center"/>
          </w:tcPr>
          <w:p>
            <w:pPr>
              <w:pStyle w:val="12"/>
            </w:pPr>
            <w:r>
              <w:t>≥10次</w:t>
            </w:r>
          </w:p>
        </w:tc>
        <w:tc>
          <w:tcPr>
            <w:tcW w:w="1276" w:type="dxa"/>
            <w:vAlign w:val="center"/>
          </w:tcPr>
          <w:p>
            <w:pPr>
              <w:pStyle w:val="12"/>
            </w:pPr>
            <w: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设备设施维修合格率</w:t>
            </w:r>
          </w:p>
        </w:tc>
        <w:tc>
          <w:tcPr>
            <w:tcW w:w="5386" w:type="dxa"/>
            <w:vAlign w:val="center"/>
          </w:tcPr>
          <w:p>
            <w:pPr>
              <w:pStyle w:val="12"/>
            </w:pPr>
            <w:r>
              <w:t>设备设施是否能够正常运行</w:t>
            </w:r>
          </w:p>
        </w:tc>
        <w:tc>
          <w:tcPr>
            <w:tcW w:w="2268" w:type="dxa"/>
            <w:vAlign w:val="center"/>
          </w:tcPr>
          <w:p>
            <w:pPr>
              <w:pStyle w:val="12"/>
            </w:pPr>
            <w:r>
              <w:t>100比例</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故障处理及时性</w:t>
            </w:r>
          </w:p>
        </w:tc>
        <w:tc>
          <w:tcPr>
            <w:tcW w:w="5386" w:type="dxa"/>
            <w:vAlign w:val="center"/>
          </w:tcPr>
          <w:p>
            <w:pPr>
              <w:pStyle w:val="12"/>
            </w:pPr>
            <w:r>
              <w:t>物业接到日常故障维修处理时间</w:t>
            </w:r>
          </w:p>
        </w:tc>
        <w:tc>
          <w:tcPr>
            <w:tcW w:w="2268" w:type="dxa"/>
            <w:vAlign w:val="center"/>
          </w:tcPr>
          <w:p>
            <w:pPr>
              <w:pStyle w:val="12"/>
            </w:pPr>
            <w:r>
              <w:t>≤2小时</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资金支付率</w:t>
            </w:r>
          </w:p>
        </w:tc>
        <w:tc>
          <w:tcPr>
            <w:tcW w:w="5386" w:type="dxa"/>
            <w:vAlign w:val="center"/>
          </w:tcPr>
          <w:p>
            <w:pPr>
              <w:pStyle w:val="12"/>
            </w:pPr>
            <w:r>
              <w:t>资金支付率</w:t>
            </w:r>
          </w:p>
        </w:tc>
        <w:tc>
          <w:tcPr>
            <w:tcW w:w="2268" w:type="dxa"/>
            <w:vAlign w:val="center"/>
          </w:tcPr>
          <w:p>
            <w:pPr>
              <w:pStyle w:val="12"/>
            </w:pPr>
            <w:r>
              <w:t>100比例</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设备设施维修率</w:t>
            </w:r>
          </w:p>
        </w:tc>
        <w:tc>
          <w:tcPr>
            <w:tcW w:w="5386" w:type="dxa"/>
            <w:vAlign w:val="center"/>
          </w:tcPr>
          <w:p>
            <w:pPr>
              <w:pStyle w:val="12"/>
            </w:pPr>
            <w:r>
              <w:t>设备设施维修率</w:t>
            </w:r>
          </w:p>
        </w:tc>
        <w:tc>
          <w:tcPr>
            <w:tcW w:w="2268" w:type="dxa"/>
            <w:vAlign w:val="center"/>
          </w:tcPr>
          <w:p>
            <w:pPr>
              <w:pStyle w:val="12"/>
            </w:pPr>
            <w:r>
              <w:t>100比例</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入驻企业满意度</w:t>
            </w:r>
          </w:p>
        </w:tc>
        <w:tc>
          <w:tcPr>
            <w:tcW w:w="5386" w:type="dxa"/>
            <w:vAlign w:val="center"/>
          </w:tcPr>
          <w:p>
            <w:pPr>
              <w:pStyle w:val="12"/>
            </w:pPr>
            <w:r>
              <w:t>入驻企业满意度</w:t>
            </w:r>
          </w:p>
        </w:tc>
        <w:tc>
          <w:tcPr>
            <w:tcW w:w="2268" w:type="dxa"/>
            <w:vAlign w:val="center"/>
          </w:tcPr>
          <w:p>
            <w:pPr>
              <w:pStyle w:val="12"/>
            </w:pPr>
            <w:r>
              <w:t>≥95比例</w:t>
            </w:r>
          </w:p>
        </w:tc>
        <w:tc>
          <w:tcPr>
            <w:tcW w:w="1276" w:type="dxa"/>
            <w:vAlign w:val="center"/>
          </w:tcPr>
          <w:p>
            <w:pPr>
              <w:pStyle w:val="12"/>
            </w:pPr>
            <w:r>
              <w:t>工作经验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2、物业服务外包费绩效目标表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13021125P00UEH110005G</w:t>
            </w:r>
          </w:p>
        </w:tc>
        <w:tc>
          <w:tcPr>
            <w:tcW w:w="2835" w:type="dxa"/>
            <w:vAlign w:val="center"/>
          </w:tcPr>
          <w:p>
            <w:pPr>
              <w:pStyle w:val="10"/>
            </w:pPr>
            <w:r>
              <w:t>项目名称</w:t>
            </w:r>
          </w:p>
        </w:tc>
        <w:tc>
          <w:tcPr>
            <w:tcW w:w="6095" w:type="dxa"/>
            <w:gridSpan w:val="3"/>
            <w:vAlign w:val="center"/>
          </w:tcPr>
          <w:p>
            <w:pPr>
              <w:pStyle w:val="12"/>
            </w:pPr>
            <w:r>
              <w:t>物业服务外包费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136.06</w:t>
            </w:r>
          </w:p>
        </w:tc>
        <w:tc>
          <w:tcPr>
            <w:tcW w:w="2835" w:type="dxa"/>
            <w:vAlign w:val="center"/>
          </w:tcPr>
          <w:p>
            <w:pPr>
              <w:pStyle w:val="10"/>
            </w:pPr>
            <w:r>
              <w:t>其中：财政    资金</w:t>
            </w:r>
          </w:p>
        </w:tc>
        <w:tc>
          <w:tcPr>
            <w:tcW w:w="2551" w:type="dxa"/>
            <w:vAlign w:val="center"/>
          </w:tcPr>
          <w:p>
            <w:pPr>
              <w:pStyle w:val="12"/>
            </w:pPr>
            <w:r>
              <w:t>136.06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主要用于物业外包服务费用的支付,保障楼宇正常运行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w:t>
            </w:r>
          </w:p>
        </w:tc>
        <w:tc>
          <w:tcPr>
            <w:tcW w:w="2835" w:type="dxa"/>
            <w:vAlign w:val="center"/>
          </w:tcPr>
          <w:p>
            <w:pPr>
              <w:pStyle w:val="13"/>
            </w:pPr>
            <w:r>
              <w:t>57%</w:t>
            </w:r>
          </w:p>
        </w:tc>
        <w:tc>
          <w:tcPr>
            <w:tcW w:w="2551" w:type="dxa"/>
            <w:vAlign w:val="center"/>
          </w:tcPr>
          <w:p>
            <w:pPr>
              <w:pStyle w:val="13"/>
            </w:pPr>
            <w:r>
              <w:t>78%</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1.主要用于物业外包服务费用的支付,保障楼宇正常运行.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入驻企业数量</w:t>
            </w:r>
          </w:p>
        </w:tc>
        <w:tc>
          <w:tcPr>
            <w:tcW w:w="5386" w:type="dxa"/>
            <w:vAlign w:val="center"/>
          </w:tcPr>
          <w:p>
            <w:pPr>
              <w:pStyle w:val="12"/>
            </w:pPr>
            <w:r>
              <w:t>通过提升整体环境,保障企业的入驻数量</w:t>
            </w:r>
          </w:p>
        </w:tc>
        <w:tc>
          <w:tcPr>
            <w:tcW w:w="2268" w:type="dxa"/>
            <w:vAlign w:val="center"/>
          </w:tcPr>
          <w:p>
            <w:pPr>
              <w:pStyle w:val="12"/>
            </w:pPr>
            <w:r>
              <w:t>30家</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设备设施维修率</w:t>
            </w:r>
          </w:p>
        </w:tc>
        <w:tc>
          <w:tcPr>
            <w:tcW w:w="5386" w:type="dxa"/>
            <w:vAlign w:val="center"/>
          </w:tcPr>
          <w:p>
            <w:pPr>
              <w:pStyle w:val="12"/>
            </w:pPr>
            <w:r>
              <w:t>设备设施维修率</w:t>
            </w:r>
          </w:p>
        </w:tc>
        <w:tc>
          <w:tcPr>
            <w:tcW w:w="2268" w:type="dxa"/>
            <w:vAlign w:val="center"/>
          </w:tcPr>
          <w:p>
            <w:pPr>
              <w:pStyle w:val="12"/>
            </w:pPr>
            <w:r>
              <w:t>100比例</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故障处理及时性</w:t>
            </w:r>
          </w:p>
        </w:tc>
        <w:tc>
          <w:tcPr>
            <w:tcW w:w="5386" w:type="dxa"/>
            <w:vAlign w:val="center"/>
          </w:tcPr>
          <w:p>
            <w:pPr>
              <w:pStyle w:val="12"/>
            </w:pPr>
            <w:r>
              <w:t>物业接到日常故障报修处理时间</w:t>
            </w:r>
          </w:p>
        </w:tc>
        <w:tc>
          <w:tcPr>
            <w:tcW w:w="2268" w:type="dxa"/>
            <w:vAlign w:val="center"/>
          </w:tcPr>
          <w:p>
            <w:pPr>
              <w:pStyle w:val="12"/>
            </w:pPr>
            <w:r>
              <w:t>≤2小时</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软件园物业服务成本</w:t>
            </w:r>
          </w:p>
        </w:tc>
        <w:tc>
          <w:tcPr>
            <w:tcW w:w="5386" w:type="dxa"/>
            <w:vAlign w:val="center"/>
          </w:tcPr>
          <w:p>
            <w:pPr>
              <w:pStyle w:val="12"/>
            </w:pPr>
            <w:r>
              <w:t>单位面积年服务费</w:t>
            </w:r>
          </w:p>
        </w:tc>
        <w:tc>
          <w:tcPr>
            <w:tcW w:w="2268" w:type="dxa"/>
            <w:vAlign w:val="center"/>
          </w:tcPr>
          <w:p>
            <w:pPr>
              <w:pStyle w:val="12"/>
            </w:pPr>
            <w:r>
              <w:t>19.4元</w:t>
            </w:r>
          </w:p>
        </w:tc>
        <w:tc>
          <w:tcPr>
            <w:tcW w:w="1276" w:type="dxa"/>
            <w:vAlign w:val="center"/>
          </w:tcPr>
          <w:p>
            <w:pPr>
              <w:pStyle w:val="12"/>
            </w:pPr>
            <w:r>
              <w:t>招标合同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创新大厦物业服务成本</w:t>
            </w:r>
          </w:p>
        </w:tc>
        <w:tc>
          <w:tcPr>
            <w:tcW w:w="5386" w:type="dxa"/>
            <w:vAlign w:val="center"/>
          </w:tcPr>
          <w:p>
            <w:pPr>
              <w:pStyle w:val="12"/>
            </w:pPr>
            <w:r>
              <w:t>单位面积年服务费</w:t>
            </w:r>
          </w:p>
        </w:tc>
        <w:tc>
          <w:tcPr>
            <w:tcW w:w="2268" w:type="dxa"/>
            <w:vAlign w:val="center"/>
          </w:tcPr>
          <w:p>
            <w:pPr>
              <w:pStyle w:val="12"/>
            </w:pPr>
            <w:r>
              <w:t>25.1元</w:t>
            </w:r>
          </w:p>
        </w:tc>
        <w:tc>
          <w:tcPr>
            <w:tcW w:w="1276" w:type="dxa"/>
            <w:vAlign w:val="center"/>
          </w:tcPr>
          <w:p>
            <w:pPr>
              <w:pStyle w:val="12"/>
            </w:pPr>
            <w:r>
              <w:t>招标合同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设备设施维修质量合格率</w:t>
            </w:r>
          </w:p>
        </w:tc>
        <w:tc>
          <w:tcPr>
            <w:tcW w:w="5386" w:type="dxa"/>
            <w:vAlign w:val="center"/>
          </w:tcPr>
          <w:p>
            <w:pPr>
              <w:pStyle w:val="12"/>
            </w:pPr>
            <w:r>
              <w:t>设备设施维修质量合格率</w:t>
            </w:r>
          </w:p>
        </w:tc>
        <w:tc>
          <w:tcPr>
            <w:tcW w:w="2268" w:type="dxa"/>
            <w:vAlign w:val="center"/>
          </w:tcPr>
          <w:p>
            <w:pPr>
              <w:pStyle w:val="12"/>
            </w:pPr>
            <w:r>
              <w:t>100比例</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入驻企业满意度</w:t>
            </w:r>
          </w:p>
        </w:tc>
        <w:tc>
          <w:tcPr>
            <w:tcW w:w="5386" w:type="dxa"/>
            <w:vAlign w:val="center"/>
          </w:tcPr>
          <w:p>
            <w:pPr>
              <w:pStyle w:val="12"/>
            </w:pPr>
            <w:r>
              <w:t>入驻企业满意度</w:t>
            </w:r>
          </w:p>
        </w:tc>
        <w:tc>
          <w:tcPr>
            <w:tcW w:w="2268" w:type="dxa"/>
            <w:vAlign w:val="center"/>
          </w:tcPr>
          <w:p>
            <w:pPr>
              <w:pStyle w:val="12"/>
            </w:pPr>
            <w:r>
              <w:t>≥95比例</w:t>
            </w:r>
          </w:p>
        </w:tc>
        <w:tc>
          <w:tcPr>
            <w:tcW w:w="1276" w:type="dxa"/>
            <w:vAlign w:val="center"/>
          </w:tcPr>
          <w:p>
            <w:pPr>
              <w:pStyle w:val="12"/>
            </w:pPr>
            <w:r>
              <w:t>工作经验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3、招商费绩效目标表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13021125P00000210002E</w:t>
            </w:r>
          </w:p>
        </w:tc>
        <w:tc>
          <w:tcPr>
            <w:tcW w:w="2835" w:type="dxa"/>
            <w:vAlign w:val="center"/>
          </w:tcPr>
          <w:p>
            <w:pPr>
              <w:pStyle w:val="10"/>
            </w:pPr>
            <w:r>
              <w:t>项目名称</w:t>
            </w:r>
          </w:p>
        </w:tc>
        <w:tc>
          <w:tcPr>
            <w:tcW w:w="6095" w:type="dxa"/>
            <w:gridSpan w:val="3"/>
            <w:vAlign w:val="center"/>
          </w:tcPr>
          <w:p>
            <w:pPr>
              <w:pStyle w:val="12"/>
            </w:pPr>
            <w:r>
              <w:t>招商费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主要用于创业中心招商所产生的差旅费、宣传推广的资料印刷费制作费等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1.按照创业中心2025 年度工作目标完成招商任务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全年招引项目25个</w:t>
            </w:r>
          </w:p>
        </w:tc>
        <w:tc>
          <w:tcPr>
            <w:tcW w:w="5386" w:type="dxa"/>
            <w:vAlign w:val="center"/>
          </w:tcPr>
          <w:p>
            <w:pPr>
              <w:pStyle w:val="12"/>
            </w:pPr>
            <w:r>
              <w:t>全年入驻企业25家</w:t>
            </w:r>
          </w:p>
        </w:tc>
        <w:tc>
          <w:tcPr>
            <w:tcW w:w="2268" w:type="dxa"/>
            <w:vAlign w:val="center"/>
          </w:tcPr>
          <w:p>
            <w:pPr>
              <w:pStyle w:val="12"/>
            </w:pPr>
            <w:r>
              <w:t>≥25个</w:t>
            </w:r>
          </w:p>
        </w:tc>
        <w:tc>
          <w:tcPr>
            <w:tcW w:w="1276" w:type="dxa"/>
            <w:vAlign w:val="center"/>
          </w:tcPr>
          <w:p>
            <w:pPr>
              <w:pStyle w:val="12"/>
            </w:pPr>
            <w:r>
              <w:t>工作目标</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培育科技型企业</w:t>
            </w:r>
          </w:p>
        </w:tc>
        <w:tc>
          <w:tcPr>
            <w:tcW w:w="5386" w:type="dxa"/>
            <w:vAlign w:val="center"/>
          </w:tcPr>
          <w:p>
            <w:pPr>
              <w:pStyle w:val="12"/>
            </w:pPr>
            <w:r>
              <w:t>通过各种渠道获取项目信息</w:t>
            </w:r>
          </w:p>
        </w:tc>
        <w:tc>
          <w:tcPr>
            <w:tcW w:w="2268" w:type="dxa"/>
            <w:vAlign w:val="center"/>
          </w:tcPr>
          <w:p>
            <w:pPr>
              <w:pStyle w:val="12"/>
            </w:pPr>
            <w:r>
              <w:t>≥25个</w:t>
            </w:r>
          </w:p>
        </w:tc>
        <w:tc>
          <w:tcPr>
            <w:tcW w:w="1276" w:type="dxa"/>
            <w:vAlign w:val="center"/>
          </w:tcPr>
          <w:p>
            <w:pPr>
              <w:pStyle w:val="12"/>
            </w:pPr>
            <w:r>
              <w:t>工作目标</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资金支付时间</w:t>
            </w:r>
          </w:p>
        </w:tc>
        <w:tc>
          <w:tcPr>
            <w:tcW w:w="5386" w:type="dxa"/>
            <w:vAlign w:val="center"/>
          </w:tcPr>
          <w:p>
            <w:pPr>
              <w:pStyle w:val="12"/>
            </w:pPr>
            <w:r>
              <w:t>资金支付时间</w:t>
            </w:r>
          </w:p>
        </w:tc>
        <w:tc>
          <w:tcPr>
            <w:tcW w:w="2268" w:type="dxa"/>
            <w:vAlign w:val="center"/>
          </w:tcPr>
          <w:p>
            <w:pPr>
              <w:pStyle w:val="12"/>
            </w:pPr>
            <w:r>
              <w:t>根据合同</w:t>
            </w:r>
          </w:p>
        </w:tc>
        <w:tc>
          <w:tcPr>
            <w:tcW w:w="1276" w:type="dxa"/>
            <w:vAlign w:val="center"/>
          </w:tcPr>
          <w:p>
            <w:pPr>
              <w:pStyle w:val="12"/>
            </w:pPr>
            <w:r>
              <w:t>工作目标</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资金完成率</w:t>
            </w:r>
          </w:p>
        </w:tc>
        <w:tc>
          <w:tcPr>
            <w:tcW w:w="5386" w:type="dxa"/>
            <w:vAlign w:val="center"/>
          </w:tcPr>
          <w:p>
            <w:pPr>
              <w:pStyle w:val="12"/>
            </w:pPr>
            <w:r>
              <w:t>资金完成率</w:t>
            </w:r>
          </w:p>
        </w:tc>
        <w:tc>
          <w:tcPr>
            <w:tcW w:w="2268" w:type="dxa"/>
            <w:vAlign w:val="center"/>
          </w:tcPr>
          <w:p>
            <w:pPr>
              <w:pStyle w:val="12"/>
            </w:pPr>
            <w:r>
              <w:t>≥100%</w:t>
            </w:r>
          </w:p>
        </w:tc>
        <w:tc>
          <w:tcPr>
            <w:tcW w:w="1276" w:type="dxa"/>
            <w:vAlign w:val="center"/>
          </w:tcPr>
          <w:p>
            <w:pPr>
              <w:pStyle w:val="12"/>
            </w:pPr>
            <w:r>
              <w:t>工作目标</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宣传推介创业中心</w:t>
            </w:r>
          </w:p>
        </w:tc>
        <w:tc>
          <w:tcPr>
            <w:tcW w:w="5386" w:type="dxa"/>
            <w:vAlign w:val="center"/>
          </w:tcPr>
          <w:p>
            <w:pPr>
              <w:pStyle w:val="12"/>
            </w:pPr>
            <w:r>
              <w:t>印刷宣传资料</w:t>
            </w:r>
          </w:p>
        </w:tc>
        <w:tc>
          <w:tcPr>
            <w:tcW w:w="2268" w:type="dxa"/>
            <w:vAlign w:val="center"/>
          </w:tcPr>
          <w:p>
            <w:pPr>
              <w:pStyle w:val="12"/>
            </w:pPr>
            <w:r>
              <w:t>通过各类渠道和方式宣传推广</w:t>
            </w:r>
          </w:p>
        </w:tc>
        <w:tc>
          <w:tcPr>
            <w:tcW w:w="1276" w:type="dxa"/>
            <w:vAlign w:val="center"/>
          </w:tcPr>
          <w:p>
            <w:pPr>
              <w:pStyle w:val="12"/>
            </w:pPr>
            <w:r>
              <w:t>工作经验</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新入驻企业</w:t>
            </w:r>
          </w:p>
        </w:tc>
        <w:tc>
          <w:tcPr>
            <w:tcW w:w="5386" w:type="dxa"/>
            <w:vAlign w:val="center"/>
          </w:tcPr>
          <w:p>
            <w:pPr>
              <w:pStyle w:val="12"/>
            </w:pPr>
            <w:r>
              <w:t>入驻企业25家</w:t>
            </w:r>
          </w:p>
        </w:tc>
        <w:tc>
          <w:tcPr>
            <w:tcW w:w="2268" w:type="dxa"/>
            <w:vAlign w:val="center"/>
          </w:tcPr>
          <w:p>
            <w:pPr>
              <w:pStyle w:val="12"/>
            </w:pPr>
            <w:r>
              <w:t>≥95%</w:t>
            </w:r>
          </w:p>
        </w:tc>
        <w:tc>
          <w:tcPr>
            <w:tcW w:w="1276" w:type="dxa"/>
            <w:vAlign w:val="center"/>
          </w:tcPr>
          <w:p>
            <w:pPr>
              <w:pStyle w:val="12"/>
            </w:pPr>
            <w:r>
              <w:t>工作目标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4、孵化器房屋租赁费绩效目标表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13021125P001T8A100060</w:t>
            </w:r>
          </w:p>
        </w:tc>
        <w:tc>
          <w:tcPr>
            <w:tcW w:w="2835" w:type="dxa"/>
            <w:vAlign w:val="center"/>
          </w:tcPr>
          <w:p>
            <w:pPr>
              <w:pStyle w:val="10"/>
            </w:pPr>
            <w:r>
              <w:t>项目名称</w:t>
            </w:r>
          </w:p>
        </w:tc>
        <w:tc>
          <w:tcPr>
            <w:tcW w:w="6095" w:type="dxa"/>
            <w:gridSpan w:val="3"/>
            <w:vAlign w:val="center"/>
          </w:tcPr>
          <w:p>
            <w:pPr>
              <w:pStyle w:val="12"/>
            </w:pPr>
            <w:r>
              <w:t>孵化器房屋租赁费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1020.00</w:t>
            </w:r>
          </w:p>
        </w:tc>
        <w:tc>
          <w:tcPr>
            <w:tcW w:w="2835" w:type="dxa"/>
            <w:vAlign w:val="center"/>
          </w:tcPr>
          <w:p>
            <w:pPr>
              <w:pStyle w:val="10"/>
            </w:pPr>
            <w:r>
              <w:t>其中：财政    资金</w:t>
            </w:r>
          </w:p>
        </w:tc>
        <w:tc>
          <w:tcPr>
            <w:tcW w:w="2551" w:type="dxa"/>
            <w:vAlign w:val="center"/>
          </w:tcPr>
          <w:p>
            <w:pPr>
              <w:pStyle w:val="12"/>
            </w:pPr>
            <w:r>
              <w:t>1020.00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主要用于房屋租赁费及税费的支付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93%</w:t>
            </w:r>
          </w:p>
        </w:tc>
        <w:tc>
          <w:tcPr>
            <w:tcW w:w="2835" w:type="dxa"/>
            <w:vAlign w:val="center"/>
          </w:tcPr>
          <w:p>
            <w:pPr>
              <w:pStyle w:val="13"/>
            </w:pPr>
            <w:r>
              <w:t>98%</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1.及时支付房屋租赁费及税费,保障楼宇正常运行.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入驻企业</w:t>
            </w:r>
          </w:p>
        </w:tc>
        <w:tc>
          <w:tcPr>
            <w:tcW w:w="5386" w:type="dxa"/>
            <w:vAlign w:val="center"/>
          </w:tcPr>
          <w:p>
            <w:pPr>
              <w:pStyle w:val="12"/>
            </w:pPr>
            <w:r>
              <w:t>入驻科技型企业数量</w:t>
            </w:r>
          </w:p>
        </w:tc>
        <w:tc>
          <w:tcPr>
            <w:tcW w:w="2268" w:type="dxa"/>
            <w:vAlign w:val="center"/>
          </w:tcPr>
          <w:p>
            <w:pPr>
              <w:pStyle w:val="12"/>
            </w:pPr>
            <w:r>
              <w:t>30家</w:t>
            </w:r>
          </w:p>
        </w:tc>
        <w:tc>
          <w:tcPr>
            <w:tcW w:w="1276" w:type="dxa"/>
            <w:vAlign w:val="center"/>
          </w:tcPr>
          <w:p>
            <w:pPr>
              <w:pStyle w:val="12"/>
            </w:pPr>
            <w:r>
              <w:t>根据工作经验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设备设施维修率</w:t>
            </w:r>
          </w:p>
        </w:tc>
        <w:tc>
          <w:tcPr>
            <w:tcW w:w="5386" w:type="dxa"/>
            <w:vAlign w:val="center"/>
          </w:tcPr>
          <w:p>
            <w:pPr>
              <w:pStyle w:val="12"/>
            </w:pPr>
            <w:r>
              <w:t>设备设施维修率</w:t>
            </w:r>
          </w:p>
        </w:tc>
        <w:tc>
          <w:tcPr>
            <w:tcW w:w="2268" w:type="dxa"/>
            <w:vAlign w:val="center"/>
          </w:tcPr>
          <w:p>
            <w:pPr>
              <w:pStyle w:val="12"/>
            </w:pPr>
            <w:r>
              <w:t>100比例</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故障处理及时性</w:t>
            </w:r>
          </w:p>
        </w:tc>
        <w:tc>
          <w:tcPr>
            <w:tcW w:w="5386" w:type="dxa"/>
            <w:vAlign w:val="center"/>
          </w:tcPr>
          <w:p>
            <w:pPr>
              <w:pStyle w:val="12"/>
            </w:pPr>
            <w:r>
              <w:t>故障处理及时性</w:t>
            </w:r>
          </w:p>
        </w:tc>
        <w:tc>
          <w:tcPr>
            <w:tcW w:w="2268" w:type="dxa"/>
            <w:vAlign w:val="center"/>
          </w:tcPr>
          <w:p>
            <w:pPr>
              <w:pStyle w:val="12"/>
            </w:pPr>
            <w:r>
              <w:t>≤2小时</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唐山(京津冀)e家产业园租金</w:t>
            </w:r>
          </w:p>
        </w:tc>
        <w:tc>
          <w:tcPr>
            <w:tcW w:w="5386" w:type="dxa"/>
            <w:vAlign w:val="center"/>
          </w:tcPr>
          <w:p>
            <w:pPr>
              <w:pStyle w:val="12"/>
            </w:pPr>
            <w:r>
              <w:t>年租金额</w:t>
            </w:r>
          </w:p>
        </w:tc>
        <w:tc>
          <w:tcPr>
            <w:tcW w:w="2268" w:type="dxa"/>
            <w:vAlign w:val="center"/>
          </w:tcPr>
          <w:p>
            <w:pPr>
              <w:pStyle w:val="12"/>
            </w:pPr>
            <w:r>
              <w:t>20万元</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软件园租金</w:t>
            </w:r>
          </w:p>
        </w:tc>
        <w:tc>
          <w:tcPr>
            <w:tcW w:w="5386" w:type="dxa"/>
            <w:vAlign w:val="center"/>
          </w:tcPr>
          <w:p>
            <w:pPr>
              <w:pStyle w:val="12"/>
            </w:pPr>
            <w:r>
              <w:t>单位平米日租金</w:t>
            </w:r>
          </w:p>
        </w:tc>
        <w:tc>
          <w:tcPr>
            <w:tcW w:w="2268" w:type="dxa"/>
            <w:vAlign w:val="center"/>
          </w:tcPr>
          <w:p>
            <w:pPr>
              <w:pStyle w:val="12"/>
            </w:pPr>
            <w:r>
              <w:t>2.45元</w:t>
            </w:r>
          </w:p>
        </w:tc>
        <w:tc>
          <w:tcPr>
            <w:tcW w:w="1276" w:type="dxa"/>
            <w:vAlign w:val="center"/>
          </w:tcPr>
          <w:p>
            <w:pPr>
              <w:pStyle w:val="12"/>
            </w:pPr>
            <w:r>
              <w:t>评估报告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维修质量合格率 </w:t>
            </w:r>
          </w:p>
        </w:tc>
        <w:tc>
          <w:tcPr>
            <w:tcW w:w="5386" w:type="dxa"/>
            <w:vAlign w:val="center"/>
          </w:tcPr>
          <w:p>
            <w:pPr>
              <w:pStyle w:val="12"/>
            </w:pPr>
            <w:r>
              <w:t>维修质量合格率</w:t>
            </w:r>
          </w:p>
        </w:tc>
        <w:tc>
          <w:tcPr>
            <w:tcW w:w="2268" w:type="dxa"/>
            <w:vAlign w:val="center"/>
          </w:tcPr>
          <w:p>
            <w:pPr>
              <w:pStyle w:val="12"/>
            </w:pPr>
            <w:r>
              <w:t>100比例</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入驻企业满意度</w:t>
            </w:r>
          </w:p>
        </w:tc>
        <w:tc>
          <w:tcPr>
            <w:tcW w:w="5386" w:type="dxa"/>
            <w:vAlign w:val="center"/>
          </w:tcPr>
          <w:p>
            <w:pPr>
              <w:pStyle w:val="12"/>
            </w:pPr>
            <w:r>
              <w:t>入驻企业满意度</w:t>
            </w:r>
          </w:p>
        </w:tc>
        <w:tc>
          <w:tcPr>
            <w:tcW w:w="2268" w:type="dxa"/>
            <w:vAlign w:val="center"/>
          </w:tcPr>
          <w:p>
            <w:pPr>
              <w:pStyle w:val="12"/>
            </w:pPr>
            <w:r>
              <w:t>≥95比例</w:t>
            </w:r>
          </w:p>
        </w:tc>
        <w:tc>
          <w:tcPr>
            <w:tcW w:w="1276" w:type="dxa"/>
            <w:vAlign w:val="center"/>
          </w:tcPr>
          <w:p>
            <w:pPr>
              <w:pStyle w:val="12"/>
            </w:pPr>
            <w:r>
              <w:t>工作经验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5、唐山机器人展示体验中心运营服务费绩效目标表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13021125P001T8A10007K</w:t>
            </w:r>
          </w:p>
        </w:tc>
        <w:tc>
          <w:tcPr>
            <w:tcW w:w="2835" w:type="dxa"/>
            <w:vAlign w:val="center"/>
          </w:tcPr>
          <w:p>
            <w:pPr>
              <w:pStyle w:val="10"/>
            </w:pPr>
            <w:r>
              <w:t>项目名称</w:t>
            </w:r>
          </w:p>
        </w:tc>
        <w:tc>
          <w:tcPr>
            <w:tcW w:w="6095" w:type="dxa"/>
            <w:gridSpan w:val="3"/>
            <w:vAlign w:val="center"/>
          </w:tcPr>
          <w:p>
            <w:pPr>
              <w:pStyle w:val="12"/>
            </w:pPr>
            <w:r>
              <w:t>唐山机器人展示体验中心运营服务费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67.50</w:t>
            </w:r>
          </w:p>
        </w:tc>
        <w:tc>
          <w:tcPr>
            <w:tcW w:w="2835" w:type="dxa"/>
            <w:vAlign w:val="center"/>
          </w:tcPr>
          <w:p>
            <w:pPr>
              <w:pStyle w:val="10"/>
            </w:pPr>
            <w:r>
              <w:t>其中：财政    资金</w:t>
            </w:r>
          </w:p>
        </w:tc>
        <w:tc>
          <w:tcPr>
            <w:tcW w:w="2551" w:type="dxa"/>
            <w:vAlign w:val="center"/>
          </w:tcPr>
          <w:p>
            <w:pPr>
              <w:pStyle w:val="12"/>
            </w:pPr>
            <w:r>
              <w:t>67.50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主要用于展示体验中心运营服务费用的支付,确保展示体验中心正常运行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1.保障机器人展示体验中心正常运行，顺利完成接待展示，提升服务水平。按照服务合同完成支付任务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参观接待人次</w:t>
            </w:r>
          </w:p>
        </w:tc>
        <w:tc>
          <w:tcPr>
            <w:tcW w:w="5386" w:type="dxa"/>
            <w:vAlign w:val="center"/>
          </w:tcPr>
          <w:p>
            <w:pPr>
              <w:pStyle w:val="12"/>
            </w:pPr>
            <w:r>
              <w:t>全年开放</w:t>
            </w:r>
          </w:p>
        </w:tc>
        <w:tc>
          <w:tcPr>
            <w:tcW w:w="2268" w:type="dxa"/>
            <w:vAlign w:val="center"/>
          </w:tcPr>
          <w:p>
            <w:pPr>
              <w:pStyle w:val="12"/>
            </w:pPr>
            <w:r>
              <w:t>≥1.5万</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设备设施运行</w:t>
            </w:r>
          </w:p>
        </w:tc>
        <w:tc>
          <w:tcPr>
            <w:tcW w:w="5386" w:type="dxa"/>
            <w:vAlign w:val="center"/>
          </w:tcPr>
          <w:p>
            <w:pPr>
              <w:pStyle w:val="12"/>
            </w:pPr>
            <w:r>
              <w:t>设备设施是否能够正常运行</w:t>
            </w:r>
          </w:p>
        </w:tc>
        <w:tc>
          <w:tcPr>
            <w:tcW w:w="2268" w:type="dxa"/>
            <w:vAlign w:val="center"/>
          </w:tcPr>
          <w:p>
            <w:pPr>
              <w:pStyle w:val="12"/>
            </w:pPr>
            <w:r>
              <w:t>是</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故障处理及时性</w:t>
            </w:r>
          </w:p>
        </w:tc>
        <w:tc>
          <w:tcPr>
            <w:tcW w:w="5386" w:type="dxa"/>
            <w:vAlign w:val="center"/>
          </w:tcPr>
          <w:p>
            <w:pPr>
              <w:pStyle w:val="12"/>
            </w:pPr>
            <w:r>
              <w:t>物业接到日常故障报修处理时间</w:t>
            </w:r>
          </w:p>
        </w:tc>
        <w:tc>
          <w:tcPr>
            <w:tcW w:w="2268" w:type="dxa"/>
            <w:vAlign w:val="center"/>
          </w:tcPr>
          <w:p>
            <w:pPr>
              <w:pStyle w:val="12"/>
            </w:pPr>
            <w:r>
              <w:t>≤2小时</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展品等设备维护保养</w:t>
            </w:r>
          </w:p>
        </w:tc>
        <w:tc>
          <w:tcPr>
            <w:tcW w:w="5386" w:type="dxa"/>
            <w:vAlign w:val="center"/>
          </w:tcPr>
          <w:p>
            <w:pPr>
              <w:pStyle w:val="12"/>
            </w:pPr>
            <w:r>
              <w:t>运营中心内机器人、展品等完好率</w:t>
            </w:r>
          </w:p>
        </w:tc>
        <w:tc>
          <w:tcPr>
            <w:tcW w:w="2268" w:type="dxa"/>
            <w:vAlign w:val="center"/>
          </w:tcPr>
          <w:p>
            <w:pPr>
              <w:pStyle w:val="12"/>
            </w:pPr>
            <w:r>
              <w:t>≥95%</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主流媒体（广播电台、电视台、报纸、官方网站）报道</w:t>
            </w:r>
          </w:p>
        </w:tc>
        <w:tc>
          <w:tcPr>
            <w:tcW w:w="2268" w:type="dxa"/>
            <w:vAlign w:val="center"/>
          </w:tcPr>
          <w:p>
            <w:pPr>
              <w:pStyle w:val="12"/>
            </w:pPr>
            <w:r>
              <w:t>≥4次</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观众满意率</w:t>
            </w:r>
          </w:p>
        </w:tc>
        <w:tc>
          <w:tcPr>
            <w:tcW w:w="5386" w:type="dxa"/>
            <w:vAlign w:val="center"/>
          </w:tcPr>
          <w:p>
            <w:pPr>
              <w:pStyle w:val="12"/>
            </w:pPr>
            <w:r>
              <w:t>观众满意率</w:t>
            </w:r>
          </w:p>
        </w:tc>
        <w:tc>
          <w:tcPr>
            <w:tcW w:w="2268" w:type="dxa"/>
            <w:vAlign w:val="center"/>
          </w:tcPr>
          <w:p>
            <w:pPr>
              <w:pStyle w:val="12"/>
            </w:pPr>
            <w:r>
              <w:t>≥95%</w:t>
            </w:r>
          </w:p>
        </w:tc>
        <w:tc>
          <w:tcPr>
            <w:tcW w:w="1276" w:type="dxa"/>
            <w:vAlign w:val="center"/>
          </w:tcPr>
          <w:p>
            <w:pPr>
              <w:pStyle w:val="12"/>
            </w:pPr>
            <w:r>
              <w:t>合同约定</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bookmarkStart w:id="37" w:name="_Toc26266_WPSOffice_Level1"/>
      <w:r>
        <w:rPr>
          <w:rFonts w:ascii="黑体" w:hAnsi="黑体" w:eastAsia="黑体" w:cs="黑体"/>
          <w:color w:val="000000"/>
          <w:sz w:val="32"/>
        </w:rPr>
        <w:t>六、政府采购预算情况</w:t>
      </w:r>
      <w:bookmarkEnd w:id="37"/>
    </w:p>
    <w:p>
      <w:pPr>
        <w:spacing w:before="0" w:after="0" w:line="240" w:lineRule="auto"/>
        <w:ind w:firstLine="0"/>
        <w:jc w:val="center"/>
        <w:outlineLvl w:val="9"/>
      </w:pPr>
      <w:bookmarkStart w:id="38" w:name="_Toc9907_WPSOffice_Level1"/>
      <w:r>
        <w:rPr>
          <w:rFonts w:ascii="方正小标宋_GBK" w:hAnsi="方正小标宋_GBK" w:eastAsia="方正小标宋_GBK" w:cs="方正小标宋_GBK"/>
          <w:color w:val="000000"/>
          <w:sz w:val="36"/>
        </w:rPr>
        <w:t>单位政府采购预算</w:t>
      </w:r>
      <w:bookmarkEnd w:id="38"/>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115001唐山高新技术创业中心（本级）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39" w:name="_Toc17630_WPSOffice_Level1"/>
      <w:r>
        <w:rPr>
          <w:rFonts w:ascii="黑体" w:hAnsi="黑体" w:eastAsia="黑体" w:cs="黑体"/>
          <w:color w:val="000000"/>
          <w:sz w:val="32"/>
        </w:rPr>
        <w:t>七、国有资产信息</w:t>
      </w:r>
      <w:bookmarkEnd w:id="39"/>
    </w:p>
    <w:p>
      <w:pPr>
        <w:spacing w:before="0" w:after="0" w:line="500" w:lineRule="exact"/>
        <w:ind w:firstLine="560"/>
        <w:jc w:val="left"/>
        <w:outlineLvl w:val="9"/>
      </w:pPr>
      <w:r>
        <w:rPr>
          <w:rFonts w:ascii="Times New Roman" w:hAnsi="Times New Roman" w:eastAsia="方正仿宋_GBK" w:cs="Times New Roman"/>
          <w:b w:val="0"/>
          <w:color w:val="000000"/>
          <w:sz w:val="28"/>
        </w:rPr>
        <w:t>唐山高新技术创业中心（本级）上年末固定资产金额为8746805.09万元（详见下表）。本年度拟购置固定资产总额为0.00万元，已按要求列入政府采购预算，详见政府采购预算表。</w:t>
      </w:r>
    </w:p>
    <w:p>
      <w:pPr>
        <w:spacing w:before="0" w:after="0" w:line="240" w:lineRule="auto"/>
        <w:ind w:firstLine="0"/>
        <w:jc w:val="center"/>
        <w:outlineLvl w:val="9"/>
      </w:pPr>
      <w:bookmarkStart w:id="40" w:name="_Toc21353_WPSOffice_Level1"/>
      <w:r>
        <w:rPr>
          <w:rFonts w:ascii="方正小标宋_GBK" w:hAnsi="方正小标宋_GBK" w:eastAsia="方正小标宋_GBK" w:cs="方正小标宋_GBK"/>
          <w:color w:val="000000"/>
          <w:sz w:val="36"/>
        </w:rPr>
        <w:t>单位固定资产占用情况表</w:t>
      </w:r>
      <w:bookmarkEnd w:id="40"/>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115001唐山高新技术创业中心（本级）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8746805.09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104300.00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11</w:t>
            </w:r>
          </w:p>
        </w:tc>
        <w:tc>
          <w:tcPr>
            <w:tcW w:w="2835" w:type="dxa"/>
            <w:vAlign w:val="center"/>
          </w:tcPr>
          <w:p>
            <w:pPr>
              <w:pStyle w:val="11"/>
            </w:pPr>
            <w:r>
              <w:t>5273006.12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6637</w:t>
            </w:r>
          </w:p>
        </w:tc>
        <w:tc>
          <w:tcPr>
            <w:tcW w:w="2835" w:type="dxa"/>
            <w:vAlign w:val="center"/>
          </w:tcPr>
          <w:p>
            <w:pPr>
              <w:pStyle w:val="11"/>
            </w:pPr>
            <w:r>
              <w:t>3369498.97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41" w:name="_Toc8016_WPSOffice_Level1"/>
      <w:r>
        <w:rPr>
          <w:rFonts w:ascii="黑体" w:hAnsi="黑体" w:eastAsia="黑体" w:cs="黑体"/>
          <w:color w:val="000000"/>
          <w:sz w:val="32"/>
        </w:rPr>
        <w:t>八、名词解释</w:t>
      </w:r>
      <w:bookmarkEnd w:id="4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bookmarkStart w:id="42" w:name="_Toc31984_WPSOffice_Level1"/>
      <w:r>
        <w:rPr>
          <w:rFonts w:ascii="黑体" w:hAnsi="黑体" w:eastAsia="黑体" w:cs="黑体"/>
          <w:color w:val="000000"/>
          <w:sz w:val="32"/>
        </w:rPr>
        <w:t>九、其他需要说明的事项</w:t>
      </w:r>
      <w:bookmarkEnd w:id="42"/>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44308E"/>
    <w:rsid w:val="35926951"/>
    <w:rsid w:val="5A4B1C8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WPSOffice手动目录 1"/>
    <w:uiPriority w:val="0"/>
    <w:pPr>
      <w:ind w:leftChars="0"/>
    </w:pPr>
    <w:rPr>
      <w:sz w:val="20"/>
      <w:szCs w:val="20"/>
    </w:rPr>
  </w:style>
  <w:style w:type="paragraph" w:customStyle="1" w:styleId="23">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921c112-ee28-4dec-87a8-971bbcbb33de}"/>
        <w:style w:val=""/>
        <w:category>
          <w:name w:val="常规"/>
          <w:gallery w:val="placeholder"/>
        </w:category>
        <w:types>
          <w:type w:val="bbPlcHdr"/>
        </w:types>
        <w:behaviors>
          <w:behavior w:val="content"/>
        </w:behaviors>
        <w:description w:val=""/>
        <w:guid w:val="{7921c112-ee28-4dec-87a8-971bbcbb33de}"/>
      </w:docPartPr>
      <w:docPartBody>
        <w:p>
          <w:r>
            <w:rPr>
              <w:color w:val="808080"/>
            </w:rPr>
            <w:t>单击此处输入文字。</w:t>
          </w:r>
        </w:p>
      </w:docPartBody>
    </w:docPart>
    <w:docPart>
      <w:docPartPr>
        <w:name w:val="{ec9f9bf6-1aa5-40e6-9584-39c8745e92e5}"/>
        <w:style w:val=""/>
        <w:category>
          <w:name w:val="常规"/>
          <w:gallery w:val="placeholder"/>
        </w:category>
        <w:types>
          <w:type w:val="bbPlcHdr"/>
        </w:types>
        <w:behaviors>
          <w:behavior w:val="content"/>
        </w:behaviors>
        <w:description w:val=""/>
        <w:guid w:val="{ec9f9bf6-1aa5-40e6-9584-39c8745e92e5}"/>
      </w:docPartPr>
      <w:docPartBody>
        <w:p>
          <w:r>
            <w:rPr>
              <w:color w:val="808080"/>
            </w:rPr>
            <w:t>单击此处输入文字。</w:t>
          </w:r>
        </w:p>
      </w:docPartBody>
    </w:docPart>
    <w:docPart>
      <w:docPartPr>
        <w:name w:val="{80da1180-7fbd-4552-9d38-8fcc29e72383}"/>
        <w:style w:val=""/>
        <w:category>
          <w:name w:val="常规"/>
          <w:gallery w:val="placeholder"/>
        </w:category>
        <w:types>
          <w:type w:val="bbPlcHdr"/>
        </w:types>
        <w:behaviors>
          <w:behavior w:val="content"/>
        </w:behaviors>
        <w:description w:val=""/>
        <w:guid w:val="{80da1180-7fbd-4552-9d38-8fcc29e72383}"/>
      </w:docPartPr>
      <w:docPartBody>
        <w:p>
          <w:r>
            <w:rPr>
              <w:color w:val="808080"/>
            </w:rPr>
            <w:t>单击此处输入文字。</w:t>
          </w:r>
        </w:p>
      </w:docPartBody>
    </w:docPart>
    <w:docPart>
      <w:docPartPr>
        <w:name w:val="{0b3429ef-117a-4c12-ae19-180bf1ebe5fb}"/>
        <w:style w:val=""/>
        <w:category>
          <w:name w:val="常规"/>
          <w:gallery w:val="placeholder"/>
        </w:category>
        <w:types>
          <w:type w:val="bbPlcHdr"/>
        </w:types>
        <w:behaviors>
          <w:behavior w:val="content"/>
        </w:behaviors>
        <w:description w:val=""/>
        <w:guid w:val="{0b3429ef-117a-4c12-ae19-180bf1ebe5fb}"/>
      </w:docPartPr>
      <w:docPartBody>
        <w:p>
          <w:r>
            <w:rPr>
              <w:color w:val="808080"/>
            </w:rPr>
            <w:t>单击此处输入文字。</w:t>
          </w:r>
        </w:p>
      </w:docPartBody>
    </w:docPart>
    <w:docPart>
      <w:docPartPr>
        <w:name w:val="{cddefc87-d3ab-48bc-a403-80f88b1b2043}"/>
        <w:style w:val=""/>
        <w:category>
          <w:name w:val="常规"/>
          <w:gallery w:val="placeholder"/>
        </w:category>
        <w:types>
          <w:type w:val="bbPlcHdr"/>
        </w:types>
        <w:behaviors>
          <w:behavior w:val="content"/>
        </w:behaviors>
        <w:description w:val=""/>
        <w:guid w:val="{cddefc87-d3ab-48bc-a403-80f88b1b2043}"/>
      </w:docPartPr>
      <w:docPartBody>
        <w:p>
          <w:r>
            <w:rPr>
              <w:color w:val="808080"/>
            </w:rPr>
            <w:t>单击此处输入文字。</w:t>
          </w:r>
        </w:p>
      </w:docPartBody>
    </w:docPart>
    <w:docPart>
      <w:docPartPr>
        <w:name w:val="{dfe9978d-a307-437b-9099-d9970e8b5e6a}"/>
        <w:style w:val=""/>
        <w:category>
          <w:name w:val="常规"/>
          <w:gallery w:val="placeholder"/>
        </w:category>
        <w:types>
          <w:type w:val="bbPlcHdr"/>
        </w:types>
        <w:behaviors>
          <w:behavior w:val="content"/>
        </w:behaviors>
        <w:description w:val=""/>
        <w:guid w:val="{dfe9978d-a307-437b-9099-d9970e8b5e6a}"/>
      </w:docPartPr>
      <w:docPartBody>
        <w:p>
          <w:r>
            <w:rPr>
              <w:color w:val="808080"/>
            </w:rPr>
            <w:t>单击此处输入文字。</w:t>
          </w:r>
        </w:p>
      </w:docPartBody>
    </w:docPart>
    <w:docPart>
      <w:docPartPr>
        <w:name w:val="{16a3180d-43d1-4455-b6e6-db9c601a6d4a}"/>
        <w:style w:val=""/>
        <w:category>
          <w:name w:val="常规"/>
          <w:gallery w:val="placeholder"/>
        </w:category>
        <w:types>
          <w:type w:val="bbPlcHdr"/>
        </w:types>
        <w:behaviors>
          <w:behavior w:val="content"/>
        </w:behaviors>
        <w:description w:val=""/>
        <w:guid w:val="{16a3180d-43d1-4455-b6e6-db9c601a6d4a}"/>
      </w:docPartPr>
      <w:docPartBody>
        <w:p>
          <w:r>
            <w:rPr>
              <w:color w:val="808080"/>
            </w:rPr>
            <w:t>单击此处输入文字。</w:t>
          </w:r>
        </w:p>
      </w:docPartBody>
    </w:docPart>
    <w:docPart>
      <w:docPartPr>
        <w:name w:val="{2a60b3b0-9636-476b-ad13-fb22d8edde50}"/>
        <w:style w:val=""/>
        <w:category>
          <w:name w:val="常规"/>
          <w:gallery w:val="placeholder"/>
        </w:category>
        <w:types>
          <w:type w:val="bbPlcHdr"/>
        </w:types>
        <w:behaviors>
          <w:behavior w:val="content"/>
        </w:behaviors>
        <w:description w:val=""/>
        <w:guid w:val="{2a60b3b0-9636-476b-ad13-fb22d8edde50}"/>
      </w:docPartPr>
      <w:docPartBody>
        <w:p>
          <w:r>
            <w:rPr>
              <w:color w:val="808080"/>
            </w:rPr>
            <w:t>单击此处输入文字。</w:t>
          </w:r>
        </w:p>
      </w:docPartBody>
    </w:docPart>
    <w:docPart>
      <w:docPartPr>
        <w:name w:val="{07057edd-a6dc-4525-8938-ef56cf8b6909}"/>
        <w:style w:val=""/>
        <w:category>
          <w:name w:val="常规"/>
          <w:gallery w:val="placeholder"/>
        </w:category>
        <w:types>
          <w:type w:val="bbPlcHdr"/>
        </w:types>
        <w:behaviors>
          <w:behavior w:val="content"/>
        </w:behaviors>
        <w:description w:val=""/>
        <w:guid w:val="{07057edd-a6dc-4525-8938-ef56cf8b6909}"/>
      </w:docPartPr>
      <w:docPartBody>
        <w:p>
          <w:r>
            <w:rPr>
              <w:color w:val="808080"/>
            </w:rPr>
            <w:t>单击此处输入文字。</w:t>
          </w:r>
        </w:p>
      </w:docPartBody>
    </w:docPart>
    <w:docPart>
      <w:docPartPr>
        <w:name w:val="{7a9e3a7b-6426-4fc8-affb-34d22363c4ba}"/>
        <w:style w:val=""/>
        <w:category>
          <w:name w:val="常规"/>
          <w:gallery w:val="placeholder"/>
        </w:category>
        <w:types>
          <w:type w:val="bbPlcHdr"/>
        </w:types>
        <w:behaviors>
          <w:behavior w:val="content"/>
        </w:behaviors>
        <w:description w:val=""/>
        <w:guid w:val="{7a9e3a7b-6426-4fc8-affb-34d22363c4ba}"/>
      </w:docPartPr>
      <w:docPartBody>
        <w:p>
          <w:r>
            <w:rPr>
              <w:color w:val="808080"/>
            </w:rPr>
            <w:t>单击此处输入文字。</w:t>
          </w:r>
        </w:p>
      </w:docPartBody>
    </w:docPart>
    <w:docPart>
      <w:docPartPr>
        <w:name w:val="{fb361863-58e3-4e8b-a6b2-297a8e85a0e7}"/>
        <w:style w:val=""/>
        <w:category>
          <w:name w:val="常规"/>
          <w:gallery w:val="placeholder"/>
        </w:category>
        <w:types>
          <w:type w:val="bbPlcHdr"/>
        </w:types>
        <w:behaviors>
          <w:behavior w:val="content"/>
        </w:behaviors>
        <w:description w:val=""/>
        <w:guid w:val="{fb361863-58e3-4e8b-a6b2-297a8e85a0e7}"/>
      </w:docPartPr>
      <w:docPartBody>
        <w:p>
          <w:r>
            <w:rPr>
              <w:color w:val="808080"/>
            </w:rPr>
            <w:t>单击此处输入文字。</w:t>
          </w:r>
        </w:p>
      </w:docPartBody>
    </w:docPart>
    <w:docPart>
      <w:docPartPr>
        <w:name w:val="{644f957a-3c17-4148-9224-449bf957e379}"/>
        <w:style w:val=""/>
        <w:category>
          <w:name w:val="常规"/>
          <w:gallery w:val="placeholder"/>
        </w:category>
        <w:types>
          <w:type w:val="bbPlcHdr"/>
        </w:types>
        <w:behaviors>
          <w:behavior w:val="content"/>
        </w:behaviors>
        <w:description w:val=""/>
        <w:guid w:val="{644f957a-3c17-4148-9224-449bf957e379}"/>
      </w:docPartPr>
      <w:docPartBody>
        <w:p>
          <w:r>
            <w:rPr>
              <w:color w:val="808080"/>
            </w:rPr>
            <w:t>单击此处输入文字。</w:t>
          </w:r>
        </w:p>
      </w:docPartBody>
    </w:docPart>
    <w:docPart>
      <w:docPartPr>
        <w:name w:val="{1eecaf99-1e3d-4d7f-a92c-a3abdc814908}"/>
        <w:style w:val=""/>
        <w:category>
          <w:name w:val="常规"/>
          <w:gallery w:val="placeholder"/>
        </w:category>
        <w:types>
          <w:type w:val="bbPlcHdr"/>
        </w:types>
        <w:behaviors>
          <w:behavior w:val="content"/>
        </w:behaviors>
        <w:description w:val=""/>
        <w:guid w:val="{1eecaf99-1e3d-4d7f-a92c-a3abdc814908}"/>
      </w:docPartPr>
      <w:docPartBody>
        <w:p>
          <w:r>
            <w:rPr>
              <w:color w:val="808080"/>
            </w:rPr>
            <w:t>单击此处输入文字。</w:t>
          </w:r>
        </w:p>
      </w:docPartBody>
    </w:docPart>
    <w:docPart>
      <w:docPartPr>
        <w:name w:val="{d0277fe9-ea58-4bb7-9033-97dba73a594b}"/>
        <w:style w:val=""/>
        <w:category>
          <w:name w:val="常规"/>
          <w:gallery w:val="placeholder"/>
        </w:category>
        <w:types>
          <w:type w:val="bbPlcHdr"/>
        </w:types>
        <w:behaviors>
          <w:behavior w:val="content"/>
        </w:behaviors>
        <w:description w:val=""/>
        <w:guid w:val="{d0277fe9-ea58-4bb7-9033-97dba73a594b}"/>
      </w:docPartPr>
      <w:docPartBody>
        <w:p>
          <w:r>
            <w:rPr>
              <w:color w:val="808080"/>
            </w:rPr>
            <w:t>单击此处输入文字。</w:t>
          </w:r>
        </w:p>
      </w:docPartBody>
    </w:docPart>
    <w:docPart>
      <w:docPartPr>
        <w:name w:val="{efd16e6c-f5a9-4c9d-bc4d-b8b8bcb526c0}"/>
        <w:style w:val=""/>
        <w:category>
          <w:name w:val="常规"/>
          <w:gallery w:val="placeholder"/>
        </w:category>
        <w:types>
          <w:type w:val="bbPlcHdr"/>
        </w:types>
        <w:behaviors>
          <w:behavior w:val="content"/>
        </w:behaviors>
        <w:description w:val=""/>
        <w:guid w:val="{efd16e6c-f5a9-4c9d-bc4d-b8b8bcb526c0}"/>
      </w:docPartPr>
      <w:docPartBody>
        <w:p>
          <w:r>
            <w:rPr>
              <w:color w:val="808080"/>
            </w:rPr>
            <w:t>单击此处输入文字。</w:t>
          </w:r>
        </w:p>
      </w:docPartBody>
    </w:docPart>
    <w:docPart>
      <w:docPartPr>
        <w:name w:val="{cf5e571e-f5e4-4e63-b9c5-185915ac0a4d}"/>
        <w:style w:val=""/>
        <w:category>
          <w:name w:val="常规"/>
          <w:gallery w:val="placeholder"/>
        </w:category>
        <w:types>
          <w:type w:val="bbPlcHdr"/>
        </w:types>
        <w:behaviors>
          <w:behavior w:val="content"/>
        </w:behaviors>
        <w:description w:val=""/>
        <w:guid w:val="{cf5e571e-f5e4-4e63-b9c5-185915ac0a4d}"/>
      </w:docPartPr>
      <w:docPartBody>
        <w:p>
          <w:r>
            <w:rPr>
              <w:color w:val="808080"/>
            </w:rPr>
            <w:t>单击此处输入文字。</w:t>
          </w:r>
        </w:p>
      </w:docPartBody>
    </w:docPart>
    <w:docPart>
      <w:docPartPr>
        <w:name w:val="{fb6c4801-7a7e-4c1a-a305-9264daf85d4a}"/>
        <w:style w:val=""/>
        <w:category>
          <w:name w:val="常规"/>
          <w:gallery w:val="placeholder"/>
        </w:category>
        <w:types>
          <w:type w:val="bbPlcHdr"/>
        </w:types>
        <w:behaviors>
          <w:behavior w:val="content"/>
        </w:behaviors>
        <w:description w:val=""/>
        <w:guid w:val="{fb6c4801-7a7e-4c1a-a305-9264daf85d4a}"/>
      </w:docPartPr>
      <w:docPartBody>
        <w:p>
          <w:r>
            <w:rPr>
              <w:color w:val="808080"/>
            </w:rPr>
            <w:t>单击此处输入文字。</w:t>
          </w:r>
        </w:p>
      </w:docPartBody>
    </w:docPart>
    <w:docPart>
      <w:docPartPr>
        <w:name w:val="{11863dd7-dc52-4c7e-a9ad-4e3ee9e1383d}"/>
        <w:style w:val=""/>
        <w:category>
          <w:name w:val="常规"/>
          <w:gallery w:val="placeholder"/>
        </w:category>
        <w:types>
          <w:type w:val="bbPlcHdr"/>
        </w:types>
        <w:behaviors>
          <w:behavior w:val="content"/>
        </w:behaviors>
        <w:description w:val=""/>
        <w:guid w:val="{11863dd7-dc52-4c7e-a9ad-4e3ee9e1383d}"/>
      </w:docPartPr>
      <w:docPartBody>
        <w:p>
          <w:r>
            <w:rPr>
              <w:color w:val="808080"/>
            </w:rPr>
            <w:t>单击此处输入文字。</w:t>
          </w:r>
        </w:p>
      </w:docPartBody>
    </w:docPart>
    <w:docPart>
      <w:docPartPr>
        <w:name w:val="{02e5998c-0afd-47cf-8c05-cbb38d8d2a9b}"/>
        <w:style w:val=""/>
        <w:category>
          <w:name w:val="常规"/>
          <w:gallery w:val="placeholder"/>
        </w:category>
        <w:types>
          <w:type w:val="bbPlcHdr"/>
        </w:types>
        <w:behaviors>
          <w:behavior w:val="content"/>
        </w:behaviors>
        <w:description w:val=""/>
        <w:guid w:val="{02e5998c-0afd-47cf-8c05-cbb38d8d2a9b}"/>
      </w:docPartPr>
      <w:docPartBody>
        <w:p>
          <w:r>
            <w:rPr>
              <w:color w:val="808080"/>
            </w:rPr>
            <w:t>单击此处输入文字。</w:t>
          </w:r>
        </w:p>
      </w:docPartBody>
    </w:docPart>
    <w:docPart>
      <w:docPartPr>
        <w:name w:val="{2ec629d1-e6c1-4b7f-bbb1-bcc6cbd0c5a0}"/>
        <w:style w:val=""/>
        <w:category>
          <w:name w:val="常规"/>
          <w:gallery w:val="placeholder"/>
        </w:category>
        <w:types>
          <w:type w:val="bbPlcHdr"/>
        </w:types>
        <w:behaviors>
          <w:behavior w:val="content"/>
        </w:behaviors>
        <w:description w:val=""/>
        <w:guid w:val="{2ec629d1-e6c1-4b7f-bbb1-bcc6cbd0c5a0}"/>
      </w:docPartPr>
      <w:docPartBody>
        <w:p>
          <w:r>
            <w:rPr>
              <w:color w:val="808080"/>
            </w:rPr>
            <w:t>单击此处输入文字。</w:t>
          </w:r>
        </w:p>
      </w:docPartBody>
    </w:docPart>
    <w:docPart>
      <w:docPartPr>
        <w:name w:val="{bd3204b3-36a3-4e02-a430-7a60f949816e}"/>
        <w:style w:val=""/>
        <w:category>
          <w:name w:val="常规"/>
          <w:gallery w:val="placeholder"/>
        </w:category>
        <w:types>
          <w:type w:val="bbPlcHdr"/>
        </w:types>
        <w:behaviors>
          <w:behavior w:val="content"/>
        </w:behaviors>
        <w:description w:val=""/>
        <w:guid w:val="{bd3204b3-36a3-4e02-a430-7a60f949816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5</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2025-02-08T10:55:00Z</dcterms:created>
  <dc:creator>oum</dc:creator>
  <cp:lastModifiedBy>oum</cp:lastModifiedBy>
  <dcterms:modified xsi:type="dcterms:W3CDTF">2025-02-08T07:52:45Z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