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94F35">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石家庄财经商贸学校</w:t>
      </w:r>
    </w:p>
    <w:p w14:paraId="372A377E">
      <w:pPr>
        <w:jc w:val="center"/>
        <w:rPr>
          <w:rFonts w:hint="eastAsia"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中高职衔接3+2贯通培养</w:t>
      </w:r>
    </w:p>
    <w:p w14:paraId="6672DEEC">
      <w:pPr>
        <w:jc w:val="center"/>
        <w:rPr>
          <w:rFonts w:ascii="方正小标宋简体" w:hAnsi="方正小标宋简体" w:eastAsia="方正小标宋简体"/>
          <w:color w:val="auto"/>
          <w:sz w:val="72"/>
          <w:szCs w:val="72"/>
        </w:rPr>
      </w:pPr>
      <w:r>
        <w:rPr>
          <w:rFonts w:hint="eastAsia" w:ascii="方正小标宋简体" w:hAnsi="方正小标宋简体" w:eastAsia="方正小标宋简体"/>
          <w:color w:val="auto"/>
          <w:sz w:val="72"/>
          <w:szCs w:val="72"/>
        </w:rPr>
        <w:t>专业人才培养方案</w:t>
      </w:r>
    </w:p>
    <w:p w14:paraId="76FADE7D">
      <w:pPr>
        <w:rPr>
          <w:rFonts w:ascii="方正小标宋简体" w:hAnsi="方正小标宋简体" w:eastAsia="方正小标宋简体"/>
          <w:color w:val="auto"/>
          <w:sz w:val="72"/>
          <w:szCs w:val="72"/>
        </w:rPr>
      </w:pPr>
    </w:p>
    <w:p w14:paraId="1D2183EB">
      <w:pPr>
        <w:rPr>
          <w:rFonts w:ascii="方正小标宋简体" w:hAnsi="方正小标宋简体" w:eastAsia="方正小标宋简体"/>
          <w:color w:val="auto"/>
          <w:sz w:val="72"/>
          <w:szCs w:val="72"/>
        </w:rPr>
      </w:pPr>
    </w:p>
    <w:p w14:paraId="7800EA6E">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59264" behindDoc="0" locked="0" layoutInCell="1" allowOverlap="1">
                <wp:simplePos x="0" y="0"/>
                <wp:positionH relativeFrom="column">
                  <wp:posOffset>2132965</wp:posOffset>
                </wp:positionH>
                <wp:positionV relativeFrom="paragraph">
                  <wp:posOffset>614680</wp:posOffset>
                </wp:positionV>
                <wp:extent cx="1847850" cy="0"/>
                <wp:effectExtent l="0" t="4445" r="0" b="5080"/>
                <wp:wrapNone/>
                <wp:docPr id="4" name="直接连接符 4"/>
                <wp:cNvGraphicFramePr/>
                <a:graphic xmlns:a="http://schemas.openxmlformats.org/drawingml/2006/main">
                  <a:graphicData uri="http://schemas.microsoft.com/office/word/2010/wordprocessingShape">
                    <wps:wsp>
                      <wps:cNvCnPr/>
                      <wps:spPr>
                        <a:xfrm>
                          <a:off x="3140710" y="511683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8.4pt;height:0pt;width:145.5pt;z-index:251659264;mso-width-relative:page;mso-height-relative:page;" filled="f"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专业名称：  制药技术应用 </w:t>
      </w:r>
      <w:r>
        <w:rPr>
          <w:rFonts w:hint="eastAsia" w:ascii="仿宋" w:hAnsi="仿宋" w:eastAsia="仿宋" w:cs="仿宋"/>
          <w:color w:val="auto"/>
          <w:sz w:val="32"/>
          <w:szCs w:val="32"/>
          <w:u w:val="single"/>
        </w:rPr>
        <w:t xml:space="preserve">     </w:t>
      </w:r>
    </w:p>
    <w:p w14:paraId="66781AF7">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551180</wp:posOffset>
                </wp:positionV>
                <wp:extent cx="184785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7pt;margin-top:43.4pt;height:0pt;width:145.5pt;z-index:251660288;mso-width-relative:page;mso-height-relative:page;" filled="f"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 xml:space="preserve">专业代码：   </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90201</w:t>
      </w:r>
      <w:r>
        <w:rPr>
          <w:rFonts w:hint="eastAsia" w:ascii="仿宋" w:hAnsi="仿宋" w:eastAsia="仿宋" w:cs="仿宋"/>
          <w:color w:val="auto"/>
          <w:sz w:val="32"/>
          <w:szCs w:val="32"/>
          <w:u w:val="single"/>
        </w:rPr>
        <w:t xml:space="preserve">       </w:t>
      </w:r>
    </w:p>
    <w:p w14:paraId="02603223">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61312" behindDoc="0" locked="0" layoutInCell="1" allowOverlap="1">
                <wp:simplePos x="0" y="0"/>
                <wp:positionH relativeFrom="column">
                  <wp:posOffset>2132965</wp:posOffset>
                </wp:positionH>
                <wp:positionV relativeFrom="paragraph">
                  <wp:posOffset>592455</wp:posOffset>
                </wp:positionV>
                <wp:extent cx="184785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6.65pt;height:0pt;width:145.5pt;z-index:251661312;mso-width-relative:page;mso-height-relative:page;" filled="f"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所属系部：  制药专业部</w:t>
      </w:r>
      <w:r>
        <w:rPr>
          <w:rFonts w:hint="eastAsia" w:ascii="仿宋" w:hAnsi="仿宋" w:eastAsia="仿宋" w:cs="仿宋"/>
          <w:color w:val="auto"/>
          <w:sz w:val="32"/>
          <w:szCs w:val="32"/>
          <w:u w:val="single"/>
        </w:rPr>
        <w:t xml:space="preserve">  </w:t>
      </w:r>
    </w:p>
    <w:p w14:paraId="1B29C589">
      <w:pPr>
        <w:spacing w:line="1000" w:lineRule="exact"/>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rPr>
        <mc:AlternateContent>
          <mc:Choice Requires="wps">
            <w:drawing>
              <wp:anchor distT="0" distB="0" distL="114300" distR="114300" simplePos="0" relativeHeight="251662336" behindDoc="0" locked="0" layoutInCell="1" allowOverlap="1">
                <wp:simplePos x="0" y="0"/>
                <wp:positionH relativeFrom="column">
                  <wp:posOffset>2132965</wp:posOffset>
                </wp:positionH>
                <wp:positionV relativeFrom="paragraph">
                  <wp:posOffset>567055</wp:posOffset>
                </wp:positionV>
                <wp:extent cx="184785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7.95pt;margin-top:44.65pt;height:0pt;width:145.5pt;z-index:251662336;mso-width-relative:page;mso-height-relative:page;" filled="f"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sz w:val="32"/>
          <w:szCs w:val="32"/>
        </w:rPr>
        <w:t>修订时间：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p>
    <w:p w14:paraId="47100031">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p>
    <w:p w14:paraId="6C835A7D">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p>
    <w:p w14:paraId="0F7CC86E">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p>
    <w:p w14:paraId="30C765C8">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p>
    <w:p w14:paraId="0254A812">
      <w:pPr>
        <w:overflowPunct w:val="0"/>
        <w:adjustRightInd w:val="0"/>
        <w:spacing w:line="600" w:lineRule="exact"/>
        <w:ind w:firstLine="880" w:firstLineChars="200"/>
        <w:jc w:val="center"/>
        <w:outlineLvl w:val="0"/>
        <w:rPr>
          <w:rFonts w:hint="eastAsia" w:ascii="方正小标宋简体" w:hAnsi="方正小标宋简体" w:eastAsia="方正小标宋简体" w:cs="方正小标宋简体"/>
          <w:bCs/>
          <w:sz w:val="44"/>
          <w:szCs w:val="44"/>
        </w:rPr>
      </w:pPr>
    </w:p>
    <w:p w14:paraId="235A3ED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2025级中高职衔接3+2贯通培养</w:t>
      </w:r>
    </w:p>
    <w:p w14:paraId="5906060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制药技术应用专业人才培养方案</w:t>
      </w:r>
    </w:p>
    <w:p w14:paraId="0D2FF414">
      <w:pPr>
        <w:overflowPunct w:val="0"/>
        <w:adjustRightInd w:val="0"/>
        <w:spacing w:line="560" w:lineRule="exact"/>
        <w:ind w:firstLine="640" w:firstLineChars="200"/>
        <w:outlineLvl w:val="0"/>
        <w:rPr>
          <w:rFonts w:eastAsia="黑体"/>
          <w:color w:val="auto"/>
          <w:sz w:val="32"/>
          <w:szCs w:val="32"/>
        </w:rPr>
      </w:pPr>
      <w:r>
        <w:rPr>
          <w:rFonts w:hint="eastAsia" w:eastAsia="黑体"/>
          <w:color w:val="auto"/>
          <w:sz w:val="32"/>
          <w:szCs w:val="32"/>
        </w:rPr>
        <w:t>一、专业概述</w:t>
      </w:r>
    </w:p>
    <w:p w14:paraId="14256B12">
      <w:pPr>
        <w:overflowPunct w:val="0"/>
        <w:adjustRightInd w:val="0"/>
        <w:spacing w:line="560" w:lineRule="exact"/>
        <w:ind w:firstLine="640" w:firstLineChars="200"/>
        <w:outlineLvl w:val="0"/>
        <w:rPr>
          <w:rFonts w:hint="eastAsia" w:ascii="仿宋" w:hAnsi="仿宋" w:eastAsia="仿宋"/>
          <w:color w:val="auto"/>
          <w:sz w:val="32"/>
          <w:szCs w:val="32"/>
        </w:rPr>
      </w:pPr>
      <w:r>
        <w:rPr>
          <w:rFonts w:hint="eastAsia" w:ascii="仿宋" w:hAnsi="仿宋" w:eastAsia="仿宋"/>
          <w:color w:val="auto"/>
          <w:sz w:val="32"/>
          <w:szCs w:val="32"/>
        </w:rPr>
        <w:t>为适应医药产业优化升级需要，对接医药产业高端化、集约化、规模化发展新趋势，对接新产业、新业态、新模式下药物制剂生产、药物制剂设备使用与维护、药物制剂质量控制等岗位群的新要求，不断满足医药产业高质量发展对高素质劳动者和技术技能人才的需求，推动职业教育专业升级和数字化改造，提高人才培养质量，遵循推进职业教育高质量发展的总体要求，参照国家相关标准编制要求，制订本方案。</w:t>
      </w:r>
    </w:p>
    <w:p w14:paraId="114C4B4A">
      <w:pPr>
        <w:overflowPunct w:val="0"/>
        <w:adjustRightIn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、专业名称及代码</w:t>
      </w:r>
    </w:p>
    <w:p w14:paraId="6DCCFC35">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中职教育阶段：</w:t>
      </w:r>
    </w:p>
    <w:p w14:paraId="6845CB35">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专业名称：制药技术应用</w:t>
      </w:r>
    </w:p>
    <w:p w14:paraId="11465382">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专业代码：690201</w:t>
      </w:r>
    </w:p>
    <w:p w14:paraId="3DE74B82">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高职教育阶段</w:t>
      </w:r>
    </w:p>
    <w:p w14:paraId="7B468B10">
      <w:pPr>
        <w:overflowPunct w:val="0"/>
        <w:adjustRightInd w:val="0"/>
        <w:spacing w:line="600" w:lineRule="exact"/>
        <w:ind w:firstLine="640" w:firstLineChars="200"/>
        <w:outlineLvl w:val="0"/>
        <w:rPr>
          <w:rFonts w:hint="eastAsia" w:ascii="仿宋" w:hAnsi="仿宋" w:eastAsia="仿宋" w:cs="仿宋"/>
          <w:sz w:val="32"/>
          <w:szCs w:val="32"/>
          <w:lang w:val="en-US" w:eastAsia="zh-CN"/>
        </w:rPr>
      </w:pPr>
      <w:r>
        <w:rPr>
          <w:rFonts w:hint="eastAsia" w:ascii="仿宋" w:hAnsi="仿宋" w:eastAsia="仿宋" w:cs="仿宋"/>
          <w:sz w:val="32"/>
          <w:szCs w:val="32"/>
        </w:rPr>
        <w:t>专业名称：</w:t>
      </w:r>
      <w:r>
        <w:rPr>
          <w:rFonts w:hint="eastAsia" w:ascii="仿宋" w:hAnsi="仿宋" w:eastAsia="仿宋" w:cs="仿宋"/>
          <w:sz w:val="32"/>
          <w:szCs w:val="32"/>
          <w:lang w:val="en-US" w:eastAsia="zh-CN"/>
        </w:rPr>
        <w:t>药物制剂技术</w:t>
      </w:r>
    </w:p>
    <w:p w14:paraId="6764A534">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专业代码：490203</w:t>
      </w:r>
    </w:p>
    <w:p w14:paraId="578E04BB">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、入学要求</w:t>
      </w:r>
    </w:p>
    <w:p w14:paraId="7B83F32A">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中职阶段：初中毕业生或具有同等学力者。</w:t>
      </w:r>
    </w:p>
    <w:p w14:paraId="494D0355">
      <w:pPr>
        <w:overflowPunct w:val="0"/>
        <w:adjustRightInd w:val="0"/>
        <w:spacing w:line="60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高职阶段：中等职业学校对口毕业生。</w:t>
      </w:r>
    </w:p>
    <w:p w14:paraId="23196FDC">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、修业年限</w:t>
      </w:r>
    </w:p>
    <w:p w14:paraId="04055091">
      <w:pPr>
        <w:spacing w:line="600" w:lineRule="exact"/>
        <w:ind w:firstLine="640" w:firstLineChars="200"/>
        <w:rPr>
          <w:rFonts w:ascii="方正仿宋简体" w:hAnsi="方正仿宋_GBK" w:eastAsia="方正仿宋简体" w:cs="方正仿宋_GBK"/>
          <w:sz w:val="32"/>
          <w:szCs w:val="32"/>
        </w:rPr>
      </w:pPr>
      <w:r>
        <w:rPr>
          <w:rFonts w:hint="eastAsia" w:ascii="仿宋" w:hAnsi="仿宋" w:eastAsia="仿宋" w:cs="仿宋"/>
          <w:sz w:val="32"/>
          <w:szCs w:val="32"/>
        </w:rPr>
        <w:t>5年全日制教育：3年中职教育+2年高职教育</w:t>
      </w:r>
    </w:p>
    <w:p w14:paraId="6F7D7AA9">
      <w:pPr>
        <w:numPr>
          <w:ilvl w:val="0"/>
          <w:numId w:val="0"/>
        </w:numPr>
        <w:overflowPunct w:val="0"/>
        <w:adjustRightInd w:val="0"/>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职业面向</w:t>
      </w:r>
    </w:p>
    <w:tbl>
      <w:tblPr>
        <w:tblStyle w:val="6"/>
        <w:tblpPr w:leftFromText="180" w:rightFromText="180" w:vertAnchor="text" w:horzAnchor="page" w:tblpX="1607" w:tblpY="5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456"/>
        <w:gridCol w:w="1276"/>
        <w:gridCol w:w="1540"/>
        <w:gridCol w:w="2360"/>
      </w:tblGrid>
      <w:tr w14:paraId="502D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Mar>
              <w:left w:w="28" w:type="dxa"/>
              <w:right w:w="28" w:type="dxa"/>
            </w:tcMar>
          </w:tcPr>
          <w:p w14:paraId="5F7B4A74">
            <w:pPr>
              <w:snapToGrid w:val="0"/>
              <w:jc w:val="center"/>
              <w:rPr>
                <w:rFonts w:hint="eastAsia" w:ascii="仿宋" w:hAnsi="仿宋" w:eastAsia="仿宋" w:cs="仿宋"/>
                <w:b/>
                <w:w w:val="90"/>
                <w:sz w:val="24"/>
              </w:rPr>
            </w:pPr>
            <w:r>
              <w:rPr>
                <w:rFonts w:hint="eastAsia" w:ascii="仿宋" w:hAnsi="仿宋" w:eastAsia="仿宋" w:cs="仿宋"/>
                <w:b/>
                <w:w w:val="90"/>
                <w:sz w:val="24"/>
              </w:rPr>
              <w:t>所属专业</w:t>
            </w:r>
          </w:p>
          <w:p w14:paraId="7389C2E3">
            <w:pPr>
              <w:snapToGrid w:val="0"/>
              <w:jc w:val="center"/>
              <w:rPr>
                <w:rFonts w:hint="eastAsia" w:ascii="仿宋" w:hAnsi="仿宋" w:eastAsia="仿宋" w:cs="仿宋"/>
                <w:b/>
                <w:w w:val="90"/>
                <w:sz w:val="24"/>
              </w:rPr>
            </w:pPr>
            <w:r>
              <w:rPr>
                <w:rFonts w:hint="eastAsia" w:ascii="仿宋" w:hAnsi="仿宋" w:eastAsia="仿宋" w:cs="仿宋"/>
                <w:b/>
                <w:w w:val="90"/>
                <w:sz w:val="24"/>
              </w:rPr>
              <w:t>大类</w:t>
            </w:r>
          </w:p>
        </w:tc>
        <w:tc>
          <w:tcPr>
            <w:tcW w:w="1080" w:type="dxa"/>
            <w:tcMar>
              <w:left w:w="28" w:type="dxa"/>
              <w:right w:w="28" w:type="dxa"/>
            </w:tcMar>
            <w:vAlign w:val="center"/>
          </w:tcPr>
          <w:p w14:paraId="55B364D7">
            <w:pPr>
              <w:snapToGrid w:val="0"/>
              <w:jc w:val="center"/>
              <w:rPr>
                <w:rFonts w:hint="eastAsia" w:ascii="仿宋" w:hAnsi="仿宋" w:eastAsia="仿宋" w:cs="仿宋"/>
                <w:b/>
                <w:w w:val="90"/>
                <w:sz w:val="24"/>
              </w:rPr>
            </w:pPr>
            <w:r>
              <w:rPr>
                <w:rFonts w:hint="eastAsia" w:ascii="仿宋" w:hAnsi="仿宋" w:eastAsia="仿宋" w:cs="仿宋"/>
                <w:b/>
                <w:w w:val="90"/>
                <w:sz w:val="24"/>
              </w:rPr>
              <w:t>所属专业类</w:t>
            </w:r>
          </w:p>
        </w:tc>
        <w:tc>
          <w:tcPr>
            <w:tcW w:w="1456" w:type="dxa"/>
            <w:tcMar>
              <w:left w:w="28" w:type="dxa"/>
              <w:right w:w="28" w:type="dxa"/>
            </w:tcMar>
            <w:vAlign w:val="center"/>
          </w:tcPr>
          <w:p w14:paraId="2EF1B6A7">
            <w:pPr>
              <w:snapToGrid w:val="0"/>
              <w:jc w:val="center"/>
              <w:rPr>
                <w:rFonts w:hint="eastAsia" w:ascii="仿宋" w:hAnsi="仿宋" w:eastAsia="仿宋" w:cs="仿宋"/>
                <w:b/>
                <w:w w:val="90"/>
                <w:sz w:val="24"/>
              </w:rPr>
            </w:pPr>
            <w:r>
              <w:rPr>
                <w:rFonts w:hint="eastAsia" w:ascii="仿宋" w:hAnsi="仿宋" w:eastAsia="仿宋" w:cs="仿宋"/>
                <w:b/>
                <w:w w:val="90"/>
                <w:sz w:val="24"/>
              </w:rPr>
              <w:t>对应行业</w:t>
            </w:r>
          </w:p>
        </w:tc>
        <w:tc>
          <w:tcPr>
            <w:tcW w:w="1276" w:type="dxa"/>
            <w:tcMar>
              <w:left w:w="28" w:type="dxa"/>
              <w:right w:w="28" w:type="dxa"/>
            </w:tcMar>
            <w:vAlign w:val="center"/>
          </w:tcPr>
          <w:p w14:paraId="2B183B7E">
            <w:pPr>
              <w:snapToGrid w:val="0"/>
              <w:jc w:val="center"/>
              <w:rPr>
                <w:rFonts w:hint="eastAsia" w:ascii="仿宋" w:hAnsi="仿宋" w:eastAsia="仿宋" w:cs="仿宋"/>
                <w:b/>
                <w:w w:val="90"/>
                <w:sz w:val="24"/>
              </w:rPr>
            </w:pPr>
            <w:r>
              <w:rPr>
                <w:rFonts w:hint="eastAsia" w:ascii="仿宋" w:hAnsi="仿宋" w:eastAsia="仿宋" w:cs="仿宋"/>
                <w:b/>
                <w:w w:val="90"/>
                <w:sz w:val="24"/>
              </w:rPr>
              <w:t>主要职业类别</w:t>
            </w:r>
          </w:p>
        </w:tc>
        <w:tc>
          <w:tcPr>
            <w:tcW w:w="1540" w:type="dxa"/>
            <w:tcMar>
              <w:left w:w="28" w:type="dxa"/>
              <w:right w:w="28" w:type="dxa"/>
            </w:tcMar>
          </w:tcPr>
          <w:p w14:paraId="6319156D">
            <w:pPr>
              <w:snapToGrid w:val="0"/>
              <w:jc w:val="center"/>
              <w:rPr>
                <w:rFonts w:hint="eastAsia" w:ascii="仿宋" w:hAnsi="仿宋" w:eastAsia="仿宋" w:cs="仿宋"/>
                <w:b/>
                <w:w w:val="90"/>
                <w:sz w:val="24"/>
              </w:rPr>
            </w:pPr>
            <w:r>
              <w:rPr>
                <w:rFonts w:hint="eastAsia" w:ascii="仿宋" w:hAnsi="仿宋" w:eastAsia="仿宋" w:cs="仿宋"/>
                <w:b/>
                <w:w w:val="90"/>
                <w:sz w:val="24"/>
              </w:rPr>
              <w:t>主要岗位类别</w:t>
            </w:r>
          </w:p>
          <w:p w14:paraId="06F2F466">
            <w:pPr>
              <w:snapToGrid w:val="0"/>
              <w:rPr>
                <w:rFonts w:hint="eastAsia" w:ascii="仿宋" w:hAnsi="仿宋" w:eastAsia="仿宋" w:cs="仿宋"/>
                <w:b/>
                <w:w w:val="90"/>
                <w:sz w:val="24"/>
              </w:rPr>
            </w:pPr>
            <w:r>
              <w:rPr>
                <w:rFonts w:hint="eastAsia" w:ascii="仿宋" w:hAnsi="仿宋" w:eastAsia="仿宋" w:cs="仿宋"/>
                <w:b/>
                <w:w w:val="90"/>
                <w:sz w:val="24"/>
              </w:rPr>
              <w:t>（或技术领域）</w:t>
            </w:r>
          </w:p>
        </w:tc>
        <w:tc>
          <w:tcPr>
            <w:tcW w:w="2360" w:type="dxa"/>
            <w:tcMar>
              <w:left w:w="28" w:type="dxa"/>
              <w:right w:w="28" w:type="dxa"/>
            </w:tcMar>
            <w:vAlign w:val="center"/>
          </w:tcPr>
          <w:p w14:paraId="44E717FA">
            <w:pPr>
              <w:snapToGrid w:val="0"/>
              <w:jc w:val="center"/>
              <w:rPr>
                <w:rFonts w:hint="eastAsia" w:ascii="仿宋" w:hAnsi="仿宋" w:eastAsia="仿宋" w:cs="仿宋"/>
                <w:b/>
                <w:w w:val="90"/>
                <w:sz w:val="24"/>
              </w:rPr>
            </w:pPr>
            <w:r>
              <w:rPr>
                <w:rFonts w:hint="eastAsia" w:ascii="仿宋" w:hAnsi="仿宋" w:eastAsia="仿宋" w:cs="仿宋"/>
                <w:b/>
                <w:w w:val="90"/>
                <w:sz w:val="24"/>
              </w:rPr>
              <w:t>职业类证书</w:t>
            </w:r>
          </w:p>
        </w:tc>
      </w:tr>
      <w:tr w14:paraId="5032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14:paraId="66BB1941">
            <w:pPr>
              <w:snapToGrid w:val="0"/>
              <w:jc w:val="center"/>
              <w:rPr>
                <w:rFonts w:hint="eastAsia" w:ascii="仿宋" w:hAnsi="仿宋" w:eastAsia="仿宋" w:cs="仿宋"/>
                <w:w w:val="90"/>
                <w:sz w:val="24"/>
                <w:lang w:val="en-US" w:eastAsia="zh-CN"/>
              </w:rPr>
            </w:pPr>
            <w:r>
              <w:rPr>
                <w:rFonts w:hint="eastAsia" w:ascii="仿宋" w:hAnsi="仿宋" w:eastAsia="仿宋" w:cs="仿宋"/>
                <w:w w:val="90"/>
                <w:sz w:val="24"/>
                <w:lang w:val="en-US" w:eastAsia="zh-CN"/>
              </w:rPr>
              <w:t>食品药品与粮食大类</w:t>
            </w:r>
          </w:p>
        </w:tc>
        <w:tc>
          <w:tcPr>
            <w:tcW w:w="1080" w:type="dxa"/>
            <w:vAlign w:val="center"/>
          </w:tcPr>
          <w:p w14:paraId="59FD867D">
            <w:pPr>
              <w:snapToGrid w:val="0"/>
              <w:jc w:val="center"/>
              <w:rPr>
                <w:rFonts w:hint="eastAsia" w:ascii="仿宋" w:hAnsi="仿宋" w:eastAsia="仿宋" w:cs="仿宋"/>
                <w:w w:val="90"/>
                <w:sz w:val="24"/>
                <w:lang w:val="en-US" w:eastAsia="zh-CN"/>
              </w:rPr>
            </w:pPr>
            <w:r>
              <w:rPr>
                <w:rFonts w:hint="eastAsia" w:ascii="仿宋" w:hAnsi="仿宋" w:eastAsia="仿宋" w:cs="仿宋"/>
                <w:w w:val="90"/>
                <w:sz w:val="24"/>
                <w:lang w:val="en-US" w:eastAsia="zh-CN"/>
              </w:rPr>
              <w:t>药品与医疗器械类</w:t>
            </w:r>
          </w:p>
        </w:tc>
        <w:tc>
          <w:tcPr>
            <w:tcW w:w="1456" w:type="dxa"/>
            <w:vAlign w:val="center"/>
          </w:tcPr>
          <w:p w14:paraId="79A6BB27">
            <w:pPr>
              <w:snapToGrid w:val="0"/>
              <w:jc w:val="center"/>
              <w:rPr>
                <w:rFonts w:hint="eastAsia" w:ascii="仿宋" w:hAnsi="仿宋" w:eastAsia="仿宋" w:cs="仿宋"/>
                <w:w w:val="90"/>
                <w:sz w:val="24"/>
              </w:rPr>
            </w:pPr>
            <w:r>
              <w:rPr>
                <w:rFonts w:hint="eastAsia" w:ascii="仿宋" w:hAnsi="仿宋" w:eastAsia="仿宋" w:cs="仿宋"/>
                <w:w w:val="90"/>
                <w:sz w:val="24"/>
              </w:rPr>
              <w:t>医药制造业</w:t>
            </w:r>
          </w:p>
        </w:tc>
        <w:tc>
          <w:tcPr>
            <w:tcW w:w="1276" w:type="dxa"/>
            <w:vAlign w:val="center"/>
          </w:tcPr>
          <w:p w14:paraId="762736C8">
            <w:pPr>
              <w:snapToGrid w:val="0"/>
              <w:jc w:val="center"/>
              <w:rPr>
                <w:rFonts w:hint="eastAsia" w:ascii="仿宋" w:hAnsi="仿宋" w:eastAsia="仿宋" w:cs="仿宋"/>
                <w:w w:val="90"/>
                <w:sz w:val="24"/>
              </w:rPr>
            </w:pPr>
            <w:r>
              <w:rPr>
                <w:rFonts w:hint="eastAsia" w:ascii="仿宋" w:hAnsi="仿宋" w:eastAsia="仿宋" w:cs="仿宋"/>
                <w:w w:val="90"/>
                <w:sz w:val="24"/>
              </w:rPr>
              <w:t>药物制剂人员</w:t>
            </w:r>
          </w:p>
        </w:tc>
        <w:tc>
          <w:tcPr>
            <w:tcW w:w="1540" w:type="dxa"/>
            <w:vAlign w:val="center"/>
          </w:tcPr>
          <w:p w14:paraId="6DFE761C">
            <w:pPr>
              <w:snapToGrid w:val="0"/>
              <w:jc w:val="center"/>
              <w:rPr>
                <w:rFonts w:hint="eastAsia" w:ascii="仿宋" w:hAnsi="仿宋" w:eastAsia="仿宋" w:cs="仿宋"/>
                <w:w w:val="90"/>
                <w:sz w:val="24"/>
              </w:rPr>
            </w:pPr>
            <w:r>
              <w:rPr>
                <w:rFonts w:hint="eastAsia" w:ascii="仿宋" w:hAnsi="仿宋" w:eastAsia="仿宋" w:cs="仿宋"/>
                <w:w w:val="90"/>
                <w:sz w:val="24"/>
              </w:rPr>
              <w:t>药品生产操作、药品生产质量管理、药品质量控制等</w:t>
            </w:r>
          </w:p>
        </w:tc>
        <w:tc>
          <w:tcPr>
            <w:tcW w:w="2360" w:type="dxa"/>
            <w:vAlign w:val="center"/>
          </w:tcPr>
          <w:p w14:paraId="299FBC19">
            <w:pPr>
              <w:snapToGrid w:val="0"/>
              <w:jc w:val="both"/>
              <w:rPr>
                <w:rFonts w:hint="eastAsia" w:ascii="仿宋" w:hAnsi="仿宋" w:eastAsia="仿宋" w:cs="仿宋"/>
                <w:w w:val="90"/>
                <w:sz w:val="24"/>
                <w:lang w:eastAsia="zh-CN"/>
              </w:rPr>
            </w:pPr>
            <w:r>
              <w:rPr>
                <w:rFonts w:hint="eastAsia" w:ascii="仿宋" w:hAnsi="仿宋" w:eastAsia="仿宋" w:cs="仿宋"/>
                <w:sz w:val="24"/>
              </w:rPr>
              <w:t>执业药师、药物制剂生产、药品购销、药物制剂工</w:t>
            </w:r>
            <w:r>
              <w:rPr>
                <w:rFonts w:hint="eastAsia" w:ascii="仿宋" w:hAnsi="仿宋" w:eastAsia="仿宋" w:cs="仿宋"/>
                <w:sz w:val="24"/>
                <w:lang w:eastAsia="zh-CN"/>
              </w:rPr>
              <w:t>等</w:t>
            </w:r>
          </w:p>
        </w:tc>
      </w:tr>
    </w:tbl>
    <w:p w14:paraId="30BD9F01">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、培养目标</w:t>
      </w:r>
    </w:p>
    <w:p w14:paraId="3B2555A8">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本专业培养能够践行社会主义核心价值观，德智体美劳全面发展，具有良好的科学与人文素养、职业道德和精益求精的工匠精神，扎实的文化基础知识、较强的就业创业能力和学习能力</w:t>
      </w:r>
      <w:r>
        <w:rPr>
          <w:rFonts w:hint="eastAsia" w:ascii="仿宋" w:hAnsi="仿宋" w:eastAsia="仿宋" w:cs="仿宋"/>
          <w:sz w:val="32"/>
          <w:szCs w:val="32"/>
          <w:lang w:eastAsia="zh-CN"/>
        </w:rPr>
        <w:t>、</w:t>
      </w:r>
      <w:r>
        <w:rPr>
          <w:rFonts w:hint="eastAsia" w:ascii="仿宋" w:hAnsi="仿宋" w:eastAsia="仿宋" w:cs="仿宋"/>
          <w:sz w:val="32"/>
          <w:szCs w:val="32"/>
        </w:rPr>
        <w:t>掌握扎实的科学文化基础和药物制剂设备分析、药物提取、药物检验检测等知识及相关法律法规，具备正确使用药物制剂生产设备、规范完成药物制剂生产、药物制剂质量控制等能力，具有工匠精神和信息素养，能够从事药物制剂生产、药品检验、药品销售等工作的高素质技术技能人才。</w:t>
      </w:r>
    </w:p>
    <w:p w14:paraId="3F31108F">
      <w:pPr>
        <w:overflowPunct w:val="0"/>
        <w:adjustRightInd w:val="0"/>
        <w:spacing w:line="600" w:lineRule="exact"/>
        <w:ind w:firstLine="640" w:firstLineChars="200"/>
        <w:outlineLvl w:val="0"/>
        <w:rPr>
          <w:rFonts w:hint="eastAsia" w:ascii="楷体" w:hAnsi="楷体" w:eastAsia="黑体" w:cs="楷体"/>
          <w:b/>
          <w:sz w:val="32"/>
          <w:szCs w:val="32"/>
          <w:lang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rPr>
        <w:t>、培养</w:t>
      </w:r>
      <w:r>
        <w:rPr>
          <w:rFonts w:hint="eastAsia" w:ascii="黑体" w:hAnsi="黑体" w:eastAsia="黑体" w:cs="黑体"/>
          <w:sz w:val="32"/>
          <w:szCs w:val="32"/>
          <w:lang w:val="en-US" w:eastAsia="zh-CN"/>
        </w:rPr>
        <w:t>规格</w:t>
      </w:r>
    </w:p>
    <w:p w14:paraId="08C8B029">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本专业学生应在系统学习本专业知识并完成有关实习实训基础上，全面提升素质、知识、能力，掌握并实际运用岗位群需要的专业技术技能，总体上须达到以下要求。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5"/>
        <w:gridCol w:w="4435"/>
      </w:tblGrid>
      <w:tr w14:paraId="73FD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2" w:type="dxa"/>
          </w:tcPr>
          <w:p w14:paraId="1D00CB13">
            <w:pPr>
              <w:spacing w:line="500" w:lineRule="exact"/>
              <w:jc w:val="center"/>
              <w:rPr>
                <w:rFonts w:hint="eastAsia" w:ascii="仿宋" w:hAnsi="仿宋" w:eastAsia="仿宋" w:cs="仿宋"/>
                <w:sz w:val="24"/>
              </w:rPr>
            </w:pPr>
            <w:r>
              <w:rPr>
                <w:rFonts w:hint="eastAsia" w:ascii="仿宋" w:hAnsi="仿宋" w:eastAsia="仿宋" w:cs="仿宋"/>
                <w:sz w:val="24"/>
              </w:rPr>
              <w:t>中职制药技术应用专业</w:t>
            </w:r>
          </w:p>
        </w:tc>
        <w:tc>
          <w:tcPr>
            <w:tcW w:w="4515" w:type="dxa"/>
          </w:tcPr>
          <w:p w14:paraId="17109F0B">
            <w:pPr>
              <w:spacing w:line="500" w:lineRule="exact"/>
              <w:jc w:val="center"/>
              <w:rPr>
                <w:rFonts w:hint="eastAsia" w:ascii="仿宋" w:hAnsi="仿宋" w:eastAsia="仿宋" w:cs="仿宋"/>
                <w:sz w:val="24"/>
              </w:rPr>
            </w:pPr>
            <w:r>
              <w:rPr>
                <w:rFonts w:hint="eastAsia" w:ascii="仿宋" w:hAnsi="仿宋" w:eastAsia="仿宋" w:cs="仿宋"/>
                <w:sz w:val="24"/>
              </w:rPr>
              <w:t>高职</w:t>
            </w:r>
            <w:r>
              <w:rPr>
                <w:rFonts w:hint="eastAsia" w:ascii="仿宋" w:hAnsi="仿宋" w:eastAsia="仿宋" w:cs="仿宋"/>
                <w:sz w:val="24"/>
                <w:lang w:val="en-US" w:eastAsia="zh-CN"/>
              </w:rPr>
              <w:t>药物制剂技术</w:t>
            </w:r>
            <w:r>
              <w:rPr>
                <w:rFonts w:hint="eastAsia" w:ascii="仿宋" w:hAnsi="仿宋" w:eastAsia="仿宋" w:cs="仿宋"/>
                <w:sz w:val="24"/>
              </w:rPr>
              <w:t>专业</w:t>
            </w:r>
          </w:p>
        </w:tc>
      </w:tr>
      <w:tr w14:paraId="3661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362" w:type="dxa"/>
          </w:tcPr>
          <w:p w14:paraId="1146AB82">
            <w:pPr>
              <w:spacing w:line="500" w:lineRule="exact"/>
              <w:ind w:firstLine="480" w:firstLineChars="200"/>
              <w:rPr>
                <w:rFonts w:hint="eastAsia" w:ascii="仿宋" w:hAnsi="仿宋" w:eastAsia="仿宋" w:cs="仿宋"/>
                <w:sz w:val="24"/>
              </w:rPr>
            </w:pPr>
            <w:r>
              <w:rPr>
                <w:rFonts w:hint="eastAsia" w:ascii="仿宋" w:hAnsi="仿宋" w:eastAsia="仿宋" w:cs="仿宋"/>
                <w:sz w:val="24"/>
              </w:rPr>
              <w:t>（1）坚定拥护中国共产党领导和中国特色社会主义制度，以习近平新时代中国特色社会主义思想为指导，践行社会主义核心价值观，具有坚定的理想信念、深厚的爱国情感和中华民族自豪感；</w:t>
            </w:r>
          </w:p>
          <w:p w14:paraId="0F95CE67">
            <w:pPr>
              <w:spacing w:line="500" w:lineRule="exact"/>
              <w:ind w:firstLine="480" w:firstLineChars="200"/>
              <w:rPr>
                <w:rFonts w:hint="eastAsia" w:ascii="仿宋" w:hAnsi="仿宋" w:eastAsia="仿宋" w:cs="仿宋"/>
                <w:sz w:val="24"/>
              </w:rPr>
            </w:pPr>
            <w:r>
              <w:rPr>
                <w:rFonts w:hint="eastAsia" w:ascii="仿宋" w:hAnsi="仿宋" w:eastAsia="仿宋" w:cs="仿宋"/>
                <w:sz w:val="24"/>
              </w:rPr>
              <w:t>（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36F92D2E">
            <w:pPr>
              <w:spacing w:line="500" w:lineRule="exact"/>
              <w:ind w:firstLine="480" w:firstLineChars="200"/>
              <w:rPr>
                <w:rFonts w:hint="eastAsia" w:ascii="仿宋" w:hAnsi="仿宋" w:eastAsia="仿宋" w:cs="仿宋"/>
                <w:sz w:val="24"/>
              </w:rPr>
            </w:pPr>
            <w:r>
              <w:rPr>
                <w:rFonts w:hint="eastAsia" w:ascii="仿宋" w:hAnsi="仿宋" w:eastAsia="仿宋" w:cs="仿宋"/>
                <w:sz w:val="24"/>
              </w:rPr>
              <w:t>（3）掌握支撑本专业学习和可持续发展必备的语文、历史、数学、外语（英语等）、信息技术等文化基础知识，具有良好的人文素养与科学素养，具备职业生涯规划能力；</w:t>
            </w:r>
          </w:p>
          <w:p w14:paraId="6908A3CA">
            <w:pPr>
              <w:spacing w:line="500" w:lineRule="exact"/>
              <w:ind w:firstLine="480" w:firstLineChars="200"/>
              <w:rPr>
                <w:rFonts w:hint="eastAsia" w:ascii="仿宋" w:hAnsi="仿宋" w:eastAsia="仿宋" w:cs="仿宋"/>
                <w:sz w:val="24"/>
              </w:rPr>
            </w:pPr>
            <w:r>
              <w:rPr>
                <w:rFonts w:hint="eastAsia" w:ascii="仿宋" w:hAnsi="仿宋" w:eastAsia="仿宋" w:cs="仿宋"/>
                <w:sz w:val="24"/>
              </w:rPr>
              <w:t>（4）具有良好的语言表达能力、文字表达能力、沟通合作能力，具有较强的集体意识和团队合作意识，学习</w:t>
            </w:r>
            <w:r>
              <w:rPr>
                <w:rFonts w:hint="eastAsia" w:ascii="仿宋" w:hAnsi="仿宋" w:eastAsia="仿宋" w:cs="仿宋"/>
                <w:sz w:val="24"/>
                <w:lang w:val="en-US" w:eastAsia="zh-CN"/>
              </w:rPr>
              <w:t>一</w:t>
            </w:r>
            <w:r>
              <w:rPr>
                <w:rFonts w:hint="eastAsia" w:ascii="仿宋" w:hAnsi="仿宋" w:eastAsia="仿宋" w:cs="仿宋"/>
                <w:sz w:val="24"/>
              </w:rPr>
              <w:t>门外语并结合本专业加以运用；</w:t>
            </w:r>
          </w:p>
          <w:p w14:paraId="3E22A628">
            <w:pPr>
              <w:spacing w:line="500" w:lineRule="exact"/>
              <w:ind w:firstLine="480" w:firstLineChars="200"/>
              <w:rPr>
                <w:rFonts w:hint="eastAsia" w:ascii="仿宋" w:hAnsi="仿宋" w:eastAsia="仿宋" w:cs="仿宋"/>
                <w:sz w:val="24"/>
              </w:rPr>
            </w:pPr>
            <w:r>
              <w:rPr>
                <w:rFonts w:hint="eastAsia" w:ascii="仿宋" w:hAnsi="仿宋" w:eastAsia="仿宋" w:cs="仿宋"/>
                <w:sz w:val="24"/>
              </w:rPr>
              <w:t>（5）掌握医药基础、药用基础化学、药事管理与法规、医药安全生产基础等方面的专业基础理论知识；</w:t>
            </w:r>
          </w:p>
          <w:p w14:paraId="699C2136">
            <w:pPr>
              <w:spacing w:line="500" w:lineRule="exact"/>
              <w:ind w:firstLine="480" w:firstLineChars="200"/>
              <w:rPr>
                <w:rFonts w:hint="eastAsia" w:ascii="仿宋" w:hAnsi="仿宋" w:eastAsia="仿宋" w:cs="仿宋"/>
                <w:sz w:val="24"/>
              </w:rPr>
            </w:pPr>
            <w:r>
              <w:rPr>
                <w:rFonts w:hint="eastAsia" w:ascii="仿宋" w:hAnsi="仿宋" w:eastAsia="仿宋" w:cs="仿宋"/>
                <w:sz w:val="24"/>
              </w:rPr>
              <w:t>（6）掌握药物制剂生产技术技能，具有按药物制剂生产岗位标准操作规程，规范完成药物制剂生产的能力；</w:t>
            </w:r>
          </w:p>
          <w:p w14:paraId="77424E60">
            <w:pPr>
              <w:spacing w:line="500" w:lineRule="exact"/>
              <w:ind w:firstLine="480" w:firstLineChars="200"/>
              <w:rPr>
                <w:rFonts w:hint="eastAsia" w:ascii="仿宋" w:hAnsi="仿宋" w:eastAsia="仿宋" w:cs="仿宋"/>
                <w:sz w:val="24"/>
              </w:rPr>
            </w:pPr>
            <w:r>
              <w:rPr>
                <w:rFonts w:hint="eastAsia" w:ascii="仿宋" w:hAnsi="仿宋" w:eastAsia="仿宋" w:cs="仿宋"/>
                <w:sz w:val="24"/>
              </w:rPr>
              <w:t>（7）具有药物制剂设备使用与维护的能力；</w:t>
            </w:r>
          </w:p>
          <w:p w14:paraId="7BBC5E01">
            <w:pPr>
              <w:spacing w:line="500" w:lineRule="exact"/>
              <w:ind w:firstLine="480" w:firstLineChars="200"/>
              <w:rPr>
                <w:rFonts w:hint="eastAsia" w:ascii="仿宋" w:hAnsi="仿宋" w:eastAsia="仿宋" w:cs="仿宋"/>
                <w:sz w:val="24"/>
              </w:rPr>
            </w:pPr>
            <w:r>
              <w:rPr>
                <w:rFonts w:hint="eastAsia" w:ascii="仿宋" w:hAnsi="仿宋" w:eastAsia="仿宋" w:cs="仿宋"/>
                <w:sz w:val="24"/>
              </w:rPr>
              <w:t>（8）具有按规范要求对生产各环节物料进行处理的能力；</w:t>
            </w:r>
          </w:p>
          <w:p w14:paraId="0736D383">
            <w:pPr>
              <w:spacing w:line="500" w:lineRule="exact"/>
              <w:ind w:firstLine="480" w:firstLineChars="200"/>
              <w:rPr>
                <w:rFonts w:hint="eastAsia" w:ascii="仿宋" w:hAnsi="仿宋" w:eastAsia="仿宋" w:cs="仿宋"/>
                <w:sz w:val="24"/>
              </w:rPr>
            </w:pPr>
            <w:r>
              <w:rPr>
                <w:rFonts w:hint="eastAsia" w:ascii="仿宋" w:hAnsi="仿宋" w:eastAsia="仿宋" w:cs="仿宋"/>
                <w:sz w:val="24"/>
              </w:rPr>
              <w:t>（9）掌握药物检验技术技能，能使用药物检验仪器和设备，进行药物制剂检验，具有药物制剂生产质量控制的能力；</w:t>
            </w:r>
          </w:p>
          <w:p w14:paraId="57C8B2BF">
            <w:pPr>
              <w:spacing w:line="500" w:lineRule="exact"/>
              <w:ind w:firstLine="480" w:firstLineChars="200"/>
              <w:rPr>
                <w:rFonts w:hint="eastAsia" w:ascii="仿宋" w:hAnsi="仿宋" w:eastAsia="仿宋" w:cs="仿宋"/>
                <w:sz w:val="24"/>
              </w:rPr>
            </w:pPr>
            <w:r>
              <w:rPr>
                <w:rFonts w:hint="eastAsia" w:ascii="仿宋" w:hAnsi="仿宋" w:eastAsia="仿宋" w:cs="仿宋"/>
                <w:sz w:val="24"/>
              </w:rPr>
              <w:t>（10）掌握信息技术基础知识，具有适应本行业数字化和智能化发展需求的基本数字技能；</w:t>
            </w:r>
          </w:p>
          <w:p w14:paraId="58A276C6">
            <w:pPr>
              <w:spacing w:line="500" w:lineRule="exact"/>
              <w:ind w:firstLine="480" w:firstLineChars="200"/>
              <w:rPr>
                <w:rFonts w:hint="eastAsia" w:ascii="仿宋" w:hAnsi="仿宋" w:eastAsia="仿宋" w:cs="仿宋"/>
                <w:sz w:val="24"/>
              </w:rPr>
            </w:pPr>
            <w:r>
              <w:rPr>
                <w:rFonts w:hint="eastAsia" w:ascii="仿宋" w:hAnsi="仿宋" w:eastAsia="仿宋" w:cs="仿宋"/>
                <w:sz w:val="24"/>
              </w:rPr>
              <w:t>（11）具有终身学习和可持续发展的能力，具有一定的分析问题和解决问题的能力；</w:t>
            </w:r>
          </w:p>
          <w:p w14:paraId="0CF8011B">
            <w:pPr>
              <w:spacing w:line="500" w:lineRule="exact"/>
              <w:ind w:firstLine="480" w:firstLineChars="200"/>
              <w:rPr>
                <w:rFonts w:hint="eastAsia" w:ascii="仿宋" w:hAnsi="仿宋" w:eastAsia="仿宋" w:cs="仿宋"/>
                <w:sz w:val="24"/>
              </w:rPr>
            </w:pPr>
            <w:r>
              <w:rPr>
                <w:rFonts w:hint="eastAsia" w:ascii="仿宋" w:hAnsi="仿宋" w:eastAsia="仿宋" w:cs="仿宋"/>
                <w:sz w:val="24"/>
              </w:rPr>
              <w:t>（12）掌握身体运动的基本知识和至少1项体育运动技能，养成良好的运动习惯、卫生习惯和行为习惯；具备一定的心理调适能力；</w:t>
            </w:r>
          </w:p>
          <w:p w14:paraId="1041EAF0">
            <w:pPr>
              <w:spacing w:line="500" w:lineRule="exact"/>
              <w:ind w:firstLine="480" w:firstLineChars="200"/>
              <w:rPr>
                <w:rFonts w:hint="eastAsia" w:ascii="仿宋" w:hAnsi="仿宋" w:eastAsia="仿宋" w:cs="仿宋"/>
                <w:sz w:val="24"/>
              </w:rPr>
            </w:pPr>
            <w:r>
              <w:rPr>
                <w:rFonts w:hint="eastAsia" w:ascii="仿宋" w:hAnsi="仿宋" w:eastAsia="仿宋" w:cs="仿宋"/>
                <w:sz w:val="24"/>
              </w:rPr>
              <w:t>（13）掌握必备的美育知识，具有一定的文化修养、审美能力，形成至少1项艺术特长或爱好；</w:t>
            </w:r>
          </w:p>
          <w:p w14:paraId="447AA8A7">
            <w:pPr>
              <w:spacing w:line="500" w:lineRule="exact"/>
              <w:ind w:firstLine="480" w:firstLineChars="200"/>
              <w:rPr>
                <w:rFonts w:hint="eastAsia" w:ascii="仿宋" w:hAnsi="仿宋" w:eastAsia="仿宋" w:cs="仿宋"/>
                <w:sz w:val="24"/>
              </w:rPr>
            </w:pPr>
            <w:r>
              <w:rPr>
                <w:rFonts w:hint="eastAsia" w:ascii="仿宋" w:hAnsi="仿宋" w:eastAsia="仿宋" w:cs="仿宋"/>
                <w:sz w:val="24"/>
              </w:rPr>
              <w:t>（14）树立正确的劳动观，尊重劳动，热爱劳动，具备与本专业职业发展相适应的劳动素养，弘扬劳模精神、劳动精神、工匠精神，弘扬劳动光荣、技能宝贵、创造伟大的时代风尚。</w:t>
            </w:r>
          </w:p>
        </w:tc>
        <w:tc>
          <w:tcPr>
            <w:tcW w:w="4515" w:type="dxa"/>
          </w:tcPr>
          <w:p w14:paraId="6C08BAB5">
            <w:pPr>
              <w:spacing w:line="500" w:lineRule="exact"/>
              <w:ind w:firstLine="480" w:firstLineChars="200"/>
              <w:rPr>
                <w:rFonts w:hint="eastAsia" w:ascii="仿宋" w:hAnsi="仿宋" w:eastAsia="仿宋" w:cs="仿宋"/>
                <w:sz w:val="24"/>
              </w:rPr>
            </w:pPr>
            <w:r>
              <w:rPr>
                <w:rFonts w:hint="eastAsia" w:ascii="仿宋" w:hAnsi="仿宋" w:eastAsia="仿宋" w:cs="仿宋"/>
                <w:sz w:val="24"/>
              </w:rPr>
              <w:t>（1）坚定拥护中国共产党领导和中国特色社会主义制度，以习近平新时代中国特色社会主义思想为指导，践行社会主义核心价值观，具有坚定的理想信念、深厚的爱国情感和中华民族自豪感；</w:t>
            </w:r>
          </w:p>
          <w:p w14:paraId="2DFE3CFA">
            <w:pPr>
              <w:spacing w:line="500" w:lineRule="exact"/>
              <w:ind w:firstLine="480" w:firstLineChars="200"/>
              <w:rPr>
                <w:rFonts w:hint="eastAsia" w:ascii="仿宋" w:hAnsi="仿宋" w:eastAsia="仿宋" w:cs="仿宋"/>
                <w:sz w:val="24"/>
              </w:rPr>
            </w:pPr>
            <w:r>
              <w:rPr>
                <w:rFonts w:hint="eastAsia" w:ascii="仿宋" w:hAnsi="仿宋" w:eastAsia="仿宋" w:cs="仿宋"/>
                <w:sz w:val="24"/>
              </w:rPr>
              <w:t>（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p>
          <w:p w14:paraId="2435D1C8">
            <w:pPr>
              <w:spacing w:line="500" w:lineRule="exact"/>
              <w:ind w:firstLine="480" w:firstLineChars="200"/>
              <w:rPr>
                <w:rFonts w:hint="eastAsia" w:ascii="仿宋" w:hAnsi="仿宋" w:eastAsia="仿宋" w:cs="仿宋"/>
                <w:sz w:val="24"/>
              </w:rPr>
            </w:pPr>
            <w:r>
              <w:rPr>
                <w:rFonts w:hint="eastAsia" w:ascii="仿宋" w:hAnsi="仿宋" w:eastAsia="仿宋" w:cs="仿宋"/>
                <w:sz w:val="24"/>
              </w:rPr>
              <w:t>（3）掌握支撑本专业学习和可持续发展必备的语文、数学、外语（英语等）、信息技术等文化基础知识，具有良好的人文素养与科学素养，具备职业生涯规划能力；</w:t>
            </w:r>
          </w:p>
          <w:p w14:paraId="60F30AA2">
            <w:pPr>
              <w:spacing w:line="500" w:lineRule="exact"/>
              <w:ind w:firstLine="480" w:firstLineChars="200"/>
              <w:rPr>
                <w:rFonts w:hint="eastAsia" w:ascii="仿宋" w:hAnsi="仿宋" w:eastAsia="仿宋" w:cs="仿宋"/>
                <w:sz w:val="24"/>
              </w:rPr>
            </w:pPr>
            <w:r>
              <w:rPr>
                <w:rFonts w:hint="eastAsia" w:ascii="仿宋" w:hAnsi="仿宋" w:eastAsia="仿宋" w:cs="仿宋"/>
                <w:sz w:val="24"/>
              </w:rPr>
              <w:t>（4）具有良好的语言表达能力、文字表达能力、沟通合作能力，具有较强的集体意识和团队合作意识，学习</w:t>
            </w:r>
            <w:r>
              <w:rPr>
                <w:rFonts w:hint="eastAsia" w:ascii="仿宋" w:hAnsi="仿宋" w:eastAsia="仿宋" w:cs="仿宋"/>
                <w:sz w:val="24"/>
                <w:lang w:val="en-US" w:eastAsia="zh-CN"/>
              </w:rPr>
              <w:t>一</w:t>
            </w:r>
            <w:r>
              <w:rPr>
                <w:rFonts w:hint="eastAsia" w:ascii="仿宋" w:hAnsi="仿宋" w:eastAsia="仿宋" w:cs="仿宋"/>
                <w:sz w:val="24"/>
              </w:rPr>
              <w:t>门外语并结合本专业加以运用；</w:t>
            </w:r>
          </w:p>
          <w:p w14:paraId="47E59CFE">
            <w:pPr>
              <w:spacing w:line="500" w:lineRule="exact"/>
              <w:ind w:firstLine="480" w:firstLineChars="200"/>
              <w:rPr>
                <w:rFonts w:hint="eastAsia" w:ascii="仿宋" w:hAnsi="仿宋" w:eastAsia="仿宋" w:cs="仿宋"/>
                <w:sz w:val="24"/>
              </w:rPr>
            </w:pPr>
            <w:r>
              <w:rPr>
                <w:rFonts w:hint="eastAsia" w:ascii="仿宋" w:hAnsi="仿宋" w:eastAsia="仿宋" w:cs="仿宋"/>
                <w:sz w:val="24"/>
              </w:rPr>
              <w:t>（5）掌握基础的化学、微生物、生物等理论知识，熟悉基础的医学和卫生相关知识；</w:t>
            </w:r>
          </w:p>
          <w:p w14:paraId="054D5B54">
            <w:pPr>
              <w:spacing w:line="500" w:lineRule="exact"/>
              <w:ind w:firstLine="480" w:firstLineChars="200"/>
              <w:rPr>
                <w:rFonts w:hint="eastAsia" w:ascii="仿宋" w:hAnsi="仿宋" w:eastAsia="仿宋" w:cs="仿宋"/>
                <w:sz w:val="24"/>
              </w:rPr>
            </w:pPr>
            <w:r>
              <w:rPr>
                <w:rFonts w:hint="eastAsia" w:ascii="仿宋" w:hAnsi="仿宋" w:eastAsia="仿宋" w:cs="仿宋"/>
                <w:sz w:val="24"/>
              </w:rPr>
              <w:t>（6）掌握药物制剂所需的化学药、生物药和中药相关专业基础理论知识；</w:t>
            </w:r>
          </w:p>
          <w:p w14:paraId="328D8C7F">
            <w:pPr>
              <w:spacing w:line="500" w:lineRule="exact"/>
              <w:ind w:firstLine="480" w:firstLineChars="200"/>
              <w:rPr>
                <w:rFonts w:hint="eastAsia" w:ascii="仿宋" w:hAnsi="仿宋" w:eastAsia="仿宋" w:cs="仿宋"/>
                <w:sz w:val="24"/>
              </w:rPr>
            </w:pPr>
            <w:r>
              <w:rPr>
                <w:rFonts w:hint="eastAsia" w:ascii="仿宋" w:hAnsi="仿宋" w:eastAsia="仿宋" w:cs="仿宋"/>
                <w:sz w:val="24"/>
              </w:rPr>
              <w:t>（7）掌握药品生产质量管理规范方面的法规、知识和技能；</w:t>
            </w:r>
          </w:p>
          <w:p w14:paraId="5F002B2F">
            <w:pPr>
              <w:spacing w:line="500" w:lineRule="exact"/>
              <w:ind w:firstLine="480" w:firstLineChars="200"/>
              <w:rPr>
                <w:rFonts w:hint="eastAsia" w:ascii="仿宋" w:hAnsi="仿宋" w:eastAsia="仿宋" w:cs="仿宋"/>
                <w:sz w:val="24"/>
              </w:rPr>
            </w:pPr>
            <w:r>
              <w:rPr>
                <w:rFonts w:hint="eastAsia" w:ascii="仿宋" w:hAnsi="仿宋" w:eastAsia="仿宋" w:cs="仿宋"/>
                <w:sz w:val="24"/>
              </w:rPr>
              <w:t>（8）掌握药物制剂生产相关的药剂处方、工艺、贮存、运输等方面的知识和技能；</w:t>
            </w:r>
          </w:p>
          <w:p w14:paraId="6D36FE42">
            <w:pPr>
              <w:spacing w:line="500" w:lineRule="exact"/>
              <w:ind w:firstLine="480" w:firstLineChars="200"/>
              <w:rPr>
                <w:rFonts w:hint="eastAsia" w:ascii="仿宋" w:hAnsi="仿宋" w:eastAsia="仿宋" w:cs="仿宋"/>
                <w:sz w:val="24"/>
              </w:rPr>
            </w:pPr>
            <w:r>
              <w:rPr>
                <w:rFonts w:hint="eastAsia" w:ascii="仿宋" w:hAnsi="仿宋" w:eastAsia="仿宋" w:cs="仿宋"/>
                <w:sz w:val="24"/>
              </w:rPr>
              <w:t>（9）掌握常用制药设备和设施的使用与维护技能，具有初步判断和处理设备故障的实践能力；</w:t>
            </w:r>
          </w:p>
          <w:p w14:paraId="2DFD67D7">
            <w:pPr>
              <w:spacing w:line="500" w:lineRule="exact"/>
              <w:ind w:firstLine="480" w:firstLineChars="200"/>
              <w:rPr>
                <w:rFonts w:hint="eastAsia" w:ascii="仿宋" w:hAnsi="仿宋" w:eastAsia="仿宋" w:cs="仿宋"/>
                <w:sz w:val="24"/>
              </w:rPr>
            </w:pPr>
            <w:r>
              <w:rPr>
                <w:rFonts w:hint="eastAsia" w:ascii="仿宋" w:hAnsi="仿宋" w:eastAsia="仿宋" w:cs="仿宋"/>
                <w:sz w:val="24"/>
              </w:rPr>
              <w:t>（10）掌握药品生产过程中的物料处置技能，具有药品包装的实践能力；</w:t>
            </w:r>
          </w:p>
          <w:p w14:paraId="41EA5BA4">
            <w:pPr>
              <w:spacing w:line="500" w:lineRule="exact"/>
              <w:ind w:firstLine="480" w:firstLineChars="200"/>
              <w:rPr>
                <w:rFonts w:hint="eastAsia" w:ascii="仿宋" w:hAnsi="仿宋" w:eastAsia="仿宋" w:cs="仿宋"/>
                <w:sz w:val="24"/>
              </w:rPr>
            </w:pPr>
            <w:r>
              <w:rPr>
                <w:rFonts w:hint="eastAsia" w:ascii="仿宋" w:hAnsi="仿宋" w:eastAsia="仿宋" w:cs="仿宋"/>
                <w:sz w:val="24"/>
              </w:rPr>
              <w:t>（11）具有药品生产质量管理、质量控制的技术和技能，具备初步的药物检验能力；</w:t>
            </w:r>
          </w:p>
          <w:p w14:paraId="14A2D882">
            <w:pPr>
              <w:spacing w:line="500" w:lineRule="exact"/>
              <w:ind w:firstLine="480" w:firstLineChars="200"/>
              <w:rPr>
                <w:rFonts w:hint="eastAsia" w:ascii="仿宋" w:hAnsi="仿宋" w:eastAsia="仿宋" w:cs="仿宋"/>
                <w:sz w:val="24"/>
              </w:rPr>
            </w:pPr>
            <w:r>
              <w:rPr>
                <w:rFonts w:hint="eastAsia" w:ascii="仿宋" w:hAnsi="仿宋" w:eastAsia="仿宋" w:cs="仿宋"/>
                <w:sz w:val="24"/>
              </w:rPr>
              <w:t>（12）掌握信息技术基础知识，具有适应本行业数字化和智能化发展需求的数字技能；</w:t>
            </w:r>
          </w:p>
          <w:p w14:paraId="3F2DF4B2">
            <w:pPr>
              <w:spacing w:line="500" w:lineRule="exact"/>
              <w:ind w:firstLine="480" w:firstLineChars="200"/>
              <w:rPr>
                <w:rFonts w:hint="eastAsia" w:ascii="仿宋" w:hAnsi="仿宋" w:eastAsia="仿宋" w:cs="仿宋"/>
                <w:sz w:val="24"/>
              </w:rPr>
            </w:pPr>
            <w:r>
              <w:rPr>
                <w:rFonts w:hint="eastAsia" w:ascii="仿宋" w:hAnsi="仿宋" w:eastAsia="仿宋" w:cs="仿宋"/>
                <w:sz w:val="24"/>
              </w:rPr>
              <w:t>（13）具有探究学习、终身学习和可持续发展的能力，具有整合知识和综合运用知识分析问题和解决问题的能力；</w:t>
            </w:r>
          </w:p>
          <w:p w14:paraId="3096F0BD">
            <w:pPr>
              <w:spacing w:line="500" w:lineRule="exact"/>
              <w:ind w:firstLine="480" w:firstLineChars="200"/>
              <w:rPr>
                <w:rFonts w:hint="eastAsia" w:ascii="仿宋" w:hAnsi="仿宋" w:eastAsia="仿宋" w:cs="仿宋"/>
                <w:sz w:val="24"/>
              </w:rPr>
            </w:pPr>
            <w:r>
              <w:rPr>
                <w:rFonts w:hint="eastAsia" w:ascii="仿宋" w:hAnsi="仿宋" w:eastAsia="仿宋" w:cs="仿宋"/>
                <w:sz w:val="24"/>
              </w:rPr>
              <w:t>（14）掌握身体运动的基本知识和至少1项体育运动技能，达到国家学生体质健康测试合格标准</w:t>
            </w:r>
            <w:bookmarkStart w:id="16" w:name="_GoBack"/>
            <w:bookmarkEnd w:id="16"/>
            <w:r>
              <w:rPr>
                <w:rFonts w:hint="eastAsia" w:ascii="仿宋" w:hAnsi="仿宋" w:eastAsia="仿宋" w:cs="仿宋"/>
                <w:sz w:val="24"/>
              </w:rPr>
              <w:t>，养成良好的运动习惯、卫生习惯和行为习惯；具备一定的心理调适能力；</w:t>
            </w:r>
          </w:p>
          <w:p w14:paraId="5A0D56D3">
            <w:pPr>
              <w:spacing w:line="500" w:lineRule="exact"/>
              <w:ind w:firstLine="480" w:firstLineChars="200"/>
              <w:rPr>
                <w:rFonts w:hint="eastAsia" w:ascii="仿宋" w:hAnsi="仿宋" w:eastAsia="仿宋" w:cs="仿宋"/>
                <w:sz w:val="24"/>
              </w:rPr>
            </w:pPr>
            <w:r>
              <w:rPr>
                <w:rFonts w:hint="eastAsia" w:ascii="仿宋" w:hAnsi="仿宋" w:eastAsia="仿宋" w:cs="仿宋"/>
                <w:sz w:val="24"/>
              </w:rPr>
              <w:t>（15）掌握必备的美育知识，具有一定的文化修养、审美能力，形成至少1项艺术特长或爱好；</w:t>
            </w:r>
          </w:p>
          <w:p w14:paraId="1BBBCBA8">
            <w:pPr>
              <w:spacing w:line="500" w:lineRule="exact"/>
              <w:ind w:firstLine="480" w:firstLineChars="200"/>
              <w:rPr>
                <w:rFonts w:hint="eastAsia" w:ascii="仿宋" w:hAnsi="仿宋" w:eastAsia="仿宋" w:cs="仿宋"/>
                <w:sz w:val="24"/>
              </w:rPr>
            </w:pPr>
            <w:r>
              <w:rPr>
                <w:rFonts w:hint="eastAsia" w:ascii="仿宋" w:hAnsi="仿宋" w:eastAsia="仿宋" w:cs="仿宋"/>
                <w:sz w:val="24"/>
              </w:rPr>
              <w:t>（16）树立正确的劳动观，尊重劳动，热爱劳动，具备与本专业职业发展相适应的劳动素养，弘扬劳模精神、劳动精神、工匠精神，弘扬劳动光荣、技能宝贵、创造伟大的时代风尚。</w:t>
            </w:r>
          </w:p>
        </w:tc>
      </w:tr>
    </w:tbl>
    <w:p w14:paraId="2C8B9F18">
      <w:pPr>
        <w:overflowPunct w:val="0"/>
        <w:adjustRightInd w:val="0"/>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、课程设置及要求</w:t>
      </w:r>
    </w:p>
    <w:p w14:paraId="352638E6">
      <w:pPr>
        <w:overflowPunct w:val="0"/>
        <w:adjustRightInd w:val="0"/>
        <w:spacing w:line="600" w:lineRule="exact"/>
        <w:ind w:firstLine="640" w:firstLineChars="200"/>
        <w:outlineLvl w:val="0"/>
        <w:rPr>
          <w:rFonts w:ascii="楷体" w:hAnsi="楷体" w:eastAsia="楷体" w:cs="楷体"/>
          <w:b/>
          <w:sz w:val="32"/>
          <w:szCs w:val="32"/>
        </w:rPr>
      </w:pPr>
      <w:r>
        <w:rPr>
          <w:rFonts w:hint="eastAsia" w:ascii="楷体" w:hAnsi="楷体" w:eastAsia="楷体"/>
          <w:sz w:val="32"/>
          <w:szCs w:val="32"/>
          <w:lang w:val="en-US" w:eastAsia="zh-CN"/>
        </w:rPr>
        <w:t>（一）</w:t>
      </w:r>
      <w:r>
        <w:rPr>
          <w:rFonts w:hint="eastAsia" w:ascii="楷体" w:hAnsi="楷体" w:eastAsia="楷体"/>
          <w:sz w:val="32"/>
          <w:szCs w:val="32"/>
        </w:rPr>
        <w:t>中职阶段人文素质教育课程设置及课程目标</w:t>
      </w:r>
    </w:p>
    <w:p w14:paraId="12306D5E">
      <w:pPr>
        <w:overflowPunct w:val="0"/>
        <w:adjustRightInd w:val="0"/>
        <w:spacing w:line="560" w:lineRule="exact"/>
        <w:ind w:left="740" w:leftChars="200" w:hanging="320" w:hangingChars="100"/>
        <w:outlineLvl w:val="1"/>
        <w:rPr>
          <w:rFonts w:ascii="楷体" w:hAnsi="楷体" w:eastAsia="楷体"/>
          <w:sz w:val="32"/>
          <w:szCs w:val="32"/>
        </w:rPr>
      </w:pPr>
      <w:bookmarkStart w:id="0" w:name="_Toc28761"/>
      <w:r>
        <w:rPr>
          <w:rFonts w:hint="eastAsia" w:ascii="楷体" w:hAnsi="楷体" w:eastAsia="楷体"/>
          <w:sz w:val="32"/>
          <w:szCs w:val="32"/>
          <w:lang w:val="en-US" w:eastAsia="zh-CN"/>
        </w:rPr>
        <w:t>1.</w:t>
      </w:r>
      <w:r>
        <w:rPr>
          <w:rFonts w:hint="eastAsia" w:ascii="楷体" w:hAnsi="楷体" w:eastAsia="楷体"/>
          <w:sz w:val="32"/>
          <w:szCs w:val="32"/>
        </w:rPr>
        <w:t>公共基础课程</w:t>
      </w:r>
      <w:bookmarkEnd w:id="0"/>
    </w:p>
    <w:p w14:paraId="5A3B3C9A">
      <w:pPr>
        <w:overflowPunct w:val="0"/>
        <w:adjustRightInd w:val="0"/>
        <w:spacing w:line="560" w:lineRule="exact"/>
        <w:ind w:firstLine="640" w:firstLineChars="200"/>
        <w:outlineLvl w:val="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学校根据2020年教育部发布的</w:t>
      </w:r>
      <w:r>
        <w:rPr>
          <w:rFonts w:hint="eastAsia" w:ascii="仿宋" w:hAnsi="仿宋" w:eastAsia="仿宋"/>
          <w:color w:val="auto"/>
          <w:sz w:val="32"/>
          <w:szCs w:val="32"/>
        </w:rPr>
        <w:t>中等职业学校</w:t>
      </w:r>
      <w:r>
        <w:rPr>
          <w:rFonts w:hint="eastAsia" w:ascii="仿宋" w:hAnsi="仿宋" w:eastAsia="仿宋"/>
          <w:color w:val="auto"/>
          <w:sz w:val="32"/>
          <w:szCs w:val="32"/>
          <w:lang w:val="en-US" w:eastAsia="zh-CN"/>
        </w:rPr>
        <w:t>公共基础</w:t>
      </w:r>
      <w:r>
        <w:rPr>
          <w:rFonts w:hint="eastAsia" w:ascii="仿宋" w:hAnsi="仿宋" w:eastAsia="仿宋"/>
          <w:color w:val="auto"/>
          <w:sz w:val="32"/>
          <w:szCs w:val="32"/>
        </w:rPr>
        <w:t>课程标准</w:t>
      </w:r>
      <w:r>
        <w:rPr>
          <w:rFonts w:hint="eastAsia" w:ascii="仿宋" w:hAnsi="仿宋" w:eastAsia="仿宋"/>
          <w:color w:val="auto"/>
          <w:sz w:val="32"/>
          <w:szCs w:val="32"/>
          <w:lang w:val="en-US" w:eastAsia="zh-CN"/>
        </w:rPr>
        <w:t>开设公共基础课程。</w:t>
      </w:r>
    </w:p>
    <w:p w14:paraId="22F702D8">
      <w:pPr>
        <w:overflowPunct w:val="0"/>
        <w:adjustRightInd w:val="0"/>
        <w:spacing w:line="560" w:lineRule="exact"/>
        <w:ind w:left="630" w:leftChars="300"/>
        <w:outlineLvl w:val="2"/>
        <w:rPr>
          <w:rFonts w:hint="default"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思想政治</w:t>
      </w:r>
    </w:p>
    <w:p w14:paraId="1455486D">
      <w:pPr>
        <w:overflowPunct w:val="0"/>
        <w:adjustRightInd w:val="0"/>
        <w:spacing w:line="560" w:lineRule="exact"/>
        <w:ind w:left="630" w:leftChars="300"/>
        <w:outlineLvl w:val="3"/>
        <w:rPr>
          <w:rFonts w:hint="default" w:ascii="仿宋" w:hAnsi="仿宋" w:eastAsia="仿宋"/>
          <w:sz w:val="32"/>
          <w:szCs w:val="32"/>
          <w:lang w:val="en-US" w:eastAsia="zh-CN"/>
        </w:rPr>
      </w:pPr>
      <w:r>
        <w:rPr>
          <w:rFonts w:hint="eastAsia" w:ascii="仿宋" w:hAnsi="仿宋" w:eastAsia="仿宋"/>
          <w:sz w:val="32"/>
          <w:szCs w:val="32"/>
        </w:rPr>
        <w:t>（1）中国特色社会主义</w:t>
      </w:r>
    </w:p>
    <w:p w14:paraId="46411CF0">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14:paraId="70128C67">
      <w:pPr>
        <w:overflowPunct w:val="0"/>
        <w:adjustRightInd w:val="0"/>
        <w:spacing w:line="560" w:lineRule="exact"/>
        <w:ind w:left="630" w:leftChars="300"/>
        <w:outlineLvl w:val="3"/>
        <w:rPr>
          <w:rFonts w:ascii="仿宋" w:hAnsi="仿宋" w:eastAsia="仿宋"/>
          <w:sz w:val="32"/>
          <w:szCs w:val="32"/>
        </w:rPr>
      </w:pPr>
      <w:r>
        <w:rPr>
          <w:rFonts w:hint="eastAsia" w:ascii="仿宋" w:hAnsi="仿宋" w:eastAsia="仿宋"/>
          <w:sz w:val="32"/>
          <w:szCs w:val="32"/>
        </w:rPr>
        <w:t>（2）心理健康与职业生涯</w:t>
      </w:r>
    </w:p>
    <w:p w14:paraId="43DE1B75">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673ED951">
      <w:pPr>
        <w:overflowPunct w:val="0"/>
        <w:adjustRightInd w:val="0"/>
        <w:spacing w:line="560" w:lineRule="exact"/>
        <w:ind w:left="630" w:leftChars="300"/>
        <w:outlineLvl w:val="3"/>
        <w:rPr>
          <w:rFonts w:ascii="仿宋" w:hAnsi="仿宋" w:eastAsia="仿宋"/>
          <w:sz w:val="32"/>
          <w:szCs w:val="32"/>
        </w:rPr>
      </w:pPr>
      <w:r>
        <w:rPr>
          <w:rFonts w:hint="eastAsia" w:ascii="仿宋" w:hAnsi="仿宋" w:eastAsia="仿宋"/>
          <w:sz w:val="32"/>
          <w:szCs w:val="32"/>
        </w:rPr>
        <w:t>（3）哲学与人生</w:t>
      </w:r>
    </w:p>
    <w:p w14:paraId="1C1CC4B1">
      <w:pPr>
        <w:overflowPunct w:val="0"/>
        <w:adjustRightInd w:val="0"/>
        <w:spacing w:line="560" w:lineRule="exact"/>
        <w:ind w:firstLine="640"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14:paraId="3ABC486E">
      <w:pPr>
        <w:overflowPunct w:val="0"/>
        <w:adjustRightInd w:val="0"/>
        <w:spacing w:line="560" w:lineRule="exact"/>
        <w:ind w:left="630" w:leftChars="300"/>
        <w:outlineLvl w:val="3"/>
        <w:rPr>
          <w:rFonts w:ascii="仿宋" w:hAnsi="仿宋" w:eastAsia="仿宋"/>
          <w:sz w:val="32"/>
          <w:szCs w:val="32"/>
        </w:rPr>
      </w:pPr>
      <w:r>
        <w:rPr>
          <w:rFonts w:hint="eastAsia" w:ascii="仿宋" w:hAnsi="仿宋" w:eastAsia="仿宋"/>
          <w:sz w:val="32"/>
          <w:szCs w:val="32"/>
        </w:rPr>
        <w:t>（4）职业道德与法治</w:t>
      </w:r>
    </w:p>
    <w:p w14:paraId="12C53B4B">
      <w:pPr>
        <w:overflowPunct w:val="0"/>
        <w:adjustRightInd w:val="0"/>
        <w:spacing w:line="560" w:lineRule="exact"/>
        <w:ind w:firstLine="640"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14:paraId="14DCEB41">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语文</w:t>
      </w:r>
    </w:p>
    <w:p w14:paraId="26443EEC">
      <w:pPr>
        <w:overflowPunct w:val="0"/>
        <w:adjustRightInd w:val="0"/>
        <w:spacing w:line="560" w:lineRule="exact"/>
        <w:ind w:firstLine="640" w:firstLineChars="200"/>
        <w:outlineLvl w:val="9"/>
        <w:rPr>
          <w:rFonts w:hint="eastAsia" w:ascii="仿宋" w:hAnsi="仿宋" w:eastAsia="仿宋"/>
          <w:sz w:val="32"/>
          <w:szCs w:val="32"/>
        </w:rPr>
      </w:pPr>
      <w:r>
        <w:rPr>
          <w:rFonts w:hint="eastAsia" w:ascii="仿宋" w:hAnsi="仿宋" w:eastAsia="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w:t>
      </w:r>
      <w:r>
        <w:rPr>
          <w:rFonts w:hint="eastAsia" w:ascii="仿宋" w:hAnsi="仿宋" w:eastAsia="仿宋"/>
          <w:sz w:val="32"/>
          <w:szCs w:val="32"/>
          <w:lang w:eastAsia="zh-CN"/>
        </w:rPr>
        <w:t>品</w:t>
      </w:r>
      <w:r>
        <w:rPr>
          <w:rFonts w:hint="eastAsia" w:ascii="仿宋" w:hAnsi="仿宋" w:eastAsia="仿宋"/>
          <w:sz w:val="32"/>
          <w:szCs w:val="32"/>
        </w:rPr>
        <w:t>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14:paraId="0000908B">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历史</w:t>
      </w:r>
    </w:p>
    <w:p w14:paraId="4B99A96D">
      <w:pPr>
        <w:overflowPunct w:val="0"/>
        <w:adjustRightInd w:val="0"/>
        <w:spacing w:line="560" w:lineRule="exact"/>
        <w:ind w:firstLine="640" w:firstLineChars="200"/>
        <w:outlineLvl w:val="9"/>
        <w:rPr>
          <w:rFonts w:hint="eastAsia"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14:paraId="1F686101">
      <w:pPr>
        <w:overflowPunct w:val="0"/>
        <w:adjustRightInd w:val="0"/>
        <w:spacing w:line="560" w:lineRule="exact"/>
        <w:ind w:firstLine="640" w:firstLineChars="200"/>
        <w:outlineLvl w:val="9"/>
        <w:rPr>
          <w:rFonts w:hint="eastAsia" w:ascii="仿宋" w:hAnsi="仿宋" w:eastAsia="仿宋"/>
          <w:sz w:val="32"/>
          <w:szCs w:val="32"/>
        </w:rPr>
      </w:pPr>
      <w:r>
        <w:rPr>
          <w:rFonts w:hint="eastAsia" w:ascii="仿宋" w:hAnsi="仿宋" w:eastAsia="仿宋"/>
          <w:sz w:val="32"/>
          <w:szCs w:val="32"/>
        </w:rPr>
        <w:t>历史课程含“中国历史”与“世界历史”两部分内容。</w:t>
      </w:r>
    </w:p>
    <w:p w14:paraId="01A3319E">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数学</w:t>
      </w:r>
    </w:p>
    <w:p w14:paraId="4D814800">
      <w:pPr>
        <w:overflowPunct w:val="0"/>
        <w:adjustRightInd w:val="0"/>
        <w:spacing w:line="560" w:lineRule="exact"/>
        <w:ind w:firstLine="640" w:firstLineChars="200"/>
        <w:outlineLvl w:val="9"/>
        <w:rPr>
          <w:rFonts w:hint="eastAsia"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14:paraId="2646C8C8">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英语</w:t>
      </w:r>
    </w:p>
    <w:p w14:paraId="04F6F106">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14:paraId="717DF9DC">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信息技术</w:t>
      </w:r>
    </w:p>
    <w:p w14:paraId="5AB7A158">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14:paraId="7F863B5E">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w:t>
      </w:r>
      <w:r>
        <w:rPr>
          <w:rFonts w:hint="eastAsia" w:ascii="仿宋" w:hAnsi="仿宋" w:eastAsia="仿宋"/>
          <w:sz w:val="32"/>
          <w:szCs w:val="32"/>
        </w:rPr>
        <w:t>体育与健康</w:t>
      </w:r>
    </w:p>
    <w:p w14:paraId="5CF30228">
      <w:pPr>
        <w:overflowPunct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 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14:paraId="660281D2">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艺术</w:t>
      </w:r>
    </w:p>
    <w:p w14:paraId="43B968CE">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（1）音乐欣赏</w:t>
      </w:r>
    </w:p>
    <w:p w14:paraId="7C1417D4">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w:t>
      </w:r>
      <w:r>
        <w:rPr>
          <w:rFonts w:hint="eastAsia" w:ascii="仿宋" w:hAnsi="仿宋" w:eastAsia="仿宋"/>
          <w:sz w:val="32"/>
          <w:szCs w:val="32"/>
          <w:lang w:eastAsia="zh-CN"/>
        </w:rPr>
        <w:t>审美情趣</w:t>
      </w:r>
      <w:r>
        <w:rPr>
          <w:rFonts w:hint="eastAsia" w:ascii="仿宋" w:hAnsi="仿宋" w:eastAsia="仿宋"/>
          <w:sz w:val="32"/>
          <w:szCs w:val="32"/>
        </w:rPr>
        <w:t>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14:paraId="59F17A19">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（2）美术欣赏</w:t>
      </w:r>
    </w:p>
    <w:p w14:paraId="7AA39B44">
      <w:pPr>
        <w:overflowPunct w:val="0"/>
        <w:adjustRightInd w:val="0"/>
        <w:spacing w:line="560" w:lineRule="exact"/>
        <w:ind w:firstLine="640"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14:paraId="3133A2AB">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（3）书法</w:t>
      </w:r>
    </w:p>
    <w:p w14:paraId="36E2D66B">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w:t>
      </w:r>
      <w:r>
        <w:rPr>
          <w:rFonts w:hint="eastAsia" w:ascii="仿宋" w:hAnsi="仿宋" w:eastAsia="仿宋"/>
          <w:sz w:val="32"/>
          <w:szCs w:val="32"/>
          <w:lang w:eastAsia="zh-CN"/>
        </w:rPr>
        <w:t>感受中国书画所蕴含的思想情感</w:t>
      </w:r>
      <w:r>
        <w:rPr>
          <w:rFonts w:hint="eastAsia" w:ascii="仿宋" w:hAnsi="仿宋" w:eastAsia="仿宋"/>
          <w:sz w:val="32"/>
          <w:szCs w:val="32"/>
        </w:rPr>
        <w:t>、审美意趣和民族精神，提高审美能力和文化品位。通过软、硬笔习字练习，掌握楷书、行书的基本运笔与技巧，养成良好的书写习惯，提高书写能力，提升自我修养。</w:t>
      </w:r>
    </w:p>
    <w:p w14:paraId="0EC04879">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（4）礼乐修身</w:t>
      </w:r>
    </w:p>
    <w:p w14:paraId="197BAB0C">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14:paraId="34BE26A0">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劳动教育</w:t>
      </w:r>
    </w:p>
    <w:p w14:paraId="40B4DF91">
      <w:pPr>
        <w:overflowPunct w:val="0"/>
        <w:adjustRightInd w:val="0"/>
        <w:spacing w:line="560" w:lineRule="exact"/>
        <w:ind w:firstLine="640"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14:paraId="17CF4F96">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lang w:eastAsia="zh-CN"/>
        </w:rPr>
        <w:t>）</w:t>
      </w:r>
      <w:r>
        <w:rPr>
          <w:rFonts w:hint="eastAsia" w:ascii="仿宋" w:hAnsi="仿宋" w:eastAsia="仿宋"/>
          <w:sz w:val="32"/>
          <w:szCs w:val="32"/>
        </w:rPr>
        <w:t>军事训练</w:t>
      </w:r>
    </w:p>
    <w:p w14:paraId="5D9740F1">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14:paraId="7C684D31">
      <w:pPr>
        <w:numPr>
          <w:ilvl w:val="0"/>
          <w:numId w:val="0"/>
        </w:numPr>
        <w:overflowPunct w:val="0"/>
        <w:adjustRightInd w:val="0"/>
        <w:spacing w:line="560" w:lineRule="exact"/>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11）中华优秀传统文化</w:t>
      </w:r>
    </w:p>
    <w:p w14:paraId="5BAE1166">
      <w:pPr>
        <w:numPr>
          <w:ilvl w:val="0"/>
          <w:numId w:val="0"/>
        </w:numPr>
        <w:overflowPunct w:val="0"/>
        <w:adjustRightInd w:val="0"/>
        <w:spacing w:line="560" w:lineRule="exact"/>
        <w:ind w:firstLine="64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了解中华优秀传统文化的基本特征、思想理念、传统美德、道德规范和人文精神，理解传统艺术、古代文学、传统节日、古代礼仪等文化内涵，能将中华优秀传统文化思想、传统美德、道德规范和人文精神运用于社会生活，并进行传播。增强学生弘扬中华传统文化的自觉性，提升对中国特色社会主义文化的自信力和对社会主义核心价值观的践行力，增强文化认同感、文化自信心、民族自豪感。</w:t>
      </w:r>
    </w:p>
    <w:p w14:paraId="0D869997">
      <w:pPr>
        <w:numPr>
          <w:ilvl w:val="0"/>
          <w:numId w:val="0"/>
        </w:numPr>
        <w:overflowPunct w:val="0"/>
        <w:adjustRightInd w:val="0"/>
        <w:spacing w:line="560" w:lineRule="exact"/>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12）国家安全教育</w:t>
      </w:r>
    </w:p>
    <w:p w14:paraId="5EAB83DC">
      <w:pPr>
        <w:numPr>
          <w:ilvl w:val="0"/>
          <w:numId w:val="0"/>
        </w:numPr>
        <w:overflowPunct w:val="0"/>
        <w:adjustRightInd w:val="0"/>
        <w:spacing w:line="560" w:lineRule="exact"/>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课程重点讲述人身财产安全、饮食安全、出行安全、网络安全、学习与就业安全、预防与应对意外事故与突发事件、公共卫生安全与急救处理等内容，加大安全教育力度，培养公共安全意识，提高广大学生的安全意识和应对突发事件的避险自救能力，最大限度地预防和减少各种安全事故的发生。</w:t>
      </w:r>
    </w:p>
    <w:p w14:paraId="4FCD942F">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2.专业基础课程</w:t>
      </w:r>
    </w:p>
    <w:tbl>
      <w:tblPr>
        <w:tblStyle w:val="6"/>
        <w:tblW w:w="8698" w:type="dxa"/>
        <w:tblInd w:w="96" w:type="dxa"/>
        <w:tblLayout w:type="autofit"/>
        <w:tblCellMar>
          <w:top w:w="0" w:type="dxa"/>
          <w:left w:w="108" w:type="dxa"/>
          <w:bottom w:w="0" w:type="dxa"/>
          <w:right w:w="108" w:type="dxa"/>
        </w:tblCellMar>
      </w:tblPr>
      <w:tblGrid>
        <w:gridCol w:w="736"/>
        <w:gridCol w:w="1377"/>
        <w:gridCol w:w="3128"/>
        <w:gridCol w:w="3457"/>
      </w:tblGrid>
      <w:tr w14:paraId="044FB57F">
        <w:tblPrEx>
          <w:tblCellMar>
            <w:top w:w="0" w:type="dxa"/>
            <w:left w:w="108" w:type="dxa"/>
            <w:bottom w:w="0" w:type="dxa"/>
            <w:right w:w="108" w:type="dxa"/>
          </w:tblCellMar>
        </w:tblPrEx>
        <w:trPr>
          <w:trHeight w:val="44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A3B">
            <w:pPr>
              <w:widowControl/>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序号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7A92">
            <w:pPr>
              <w:widowControl/>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课程名称</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7F96">
            <w:pPr>
              <w:widowControl/>
              <w:jc w:val="center"/>
              <w:textAlignment w:val="center"/>
              <w:rPr>
                <w:rFonts w:ascii="仿宋" w:hAnsi="仿宋" w:eastAsia="仿宋" w:cs="仿宋"/>
                <w:b/>
                <w:bCs/>
                <w:color w:val="auto"/>
                <w:sz w:val="24"/>
                <w:szCs w:val="24"/>
              </w:rPr>
            </w:pPr>
            <w:r>
              <w:rPr>
                <w:rFonts w:hint="eastAsia" w:ascii="仿宋" w:hAnsi="仿宋" w:eastAsia="仿宋" w:cs="仿宋"/>
                <w:b/>
                <w:bCs/>
                <w:color w:val="auto"/>
                <w:kern w:val="0"/>
                <w:sz w:val="24"/>
                <w:szCs w:val="24"/>
                <w:lang w:bidi="ar"/>
              </w:rPr>
              <w:t>课程目标</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E73">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bidi="ar"/>
              </w:rPr>
              <w:t>主要</w:t>
            </w:r>
            <w:r>
              <w:rPr>
                <w:rFonts w:hint="eastAsia" w:ascii="仿宋" w:hAnsi="仿宋" w:eastAsia="仿宋" w:cs="仿宋"/>
                <w:b/>
                <w:bCs/>
                <w:color w:val="auto"/>
                <w:kern w:val="0"/>
                <w:sz w:val="24"/>
                <w:szCs w:val="24"/>
                <w:lang w:eastAsia="zh-CN" w:bidi="ar"/>
              </w:rPr>
              <w:t>教学</w:t>
            </w:r>
            <w:r>
              <w:rPr>
                <w:rFonts w:hint="eastAsia" w:ascii="仿宋" w:hAnsi="仿宋" w:eastAsia="仿宋" w:cs="仿宋"/>
                <w:b/>
                <w:bCs/>
                <w:color w:val="auto"/>
                <w:kern w:val="0"/>
                <w:sz w:val="24"/>
                <w:szCs w:val="24"/>
                <w:lang w:bidi="ar"/>
              </w:rPr>
              <w:t>内容</w:t>
            </w:r>
            <w:r>
              <w:rPr>
                <w:rFonts w:hint="eastAsia" w:ascii="仿宋" w:hAnsi="仿宋" w:eastAsia="仿宋" w:cs="仿宋"/>
                <w:b/>
                <w:bCs/>
                <w:color w:val="auto"/>
                <w:kern w:val="0"/>
                <w:sz w:val="24"/>
                <w:szCs w:val="24"/>
                <w:lang w:eastAsia="zh-CN" w:bidi="ar"/>
              </w:rPr>
              <w:t>及要求</w:t>
            </w:r>
          </w:p>
        </w:tc>
      </w:tr>
      <w:tr w14:paraId="0C86C20A">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B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0000FF"/>
                <w:sz w:val="24"/>
                <w:szCs w:val="24"/>
              </w:rPr>
            </w:pPr>
            <w:r>
              <w:rPr>
                <w:rFonts w:hint="eastAsia" w:ascii="仿宋" w:hAnsi="仿宋" w:eastAsia="仿宋" w:cs="仿宋"/>
                <w:color w:val="auto"/>
                <w:kern w:val="0"/>
                <w:sz w:val="24"/>
                <w:szCs w:val="24"/>
                <w:lang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288">
            <w:pPr>
              <w:keepNext w:val="0"/>
              <w:keepLines w:val="0"/>
              <w:pageBreakBefore w:val="0"/>
              <w:widowControl/>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医药基础</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F67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1.树立严谨的职业态度，遵守药事法规和伦理规范，重视用药安全。</w:t>
            </w:r>
          </w:p>
          <w:p w14:paraId="163C085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2.培养科学思维和创新意识，能通过案例分析提升解决实际问题的能力。</w:t>
            </w:r>
          </w:p>
          <w:p w14:paraId="4982C03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lang w:val="en-US" w:eastAsia="zh-CN"/>
              </w:rPr>
              <w:t>能识读简单处方，审核药品用法用量，具备初步的药品调剂能力。</w:t>
            </w:r>
          </w:p>
          <w:p w14:paraId="645BF1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4.</w:t>
            </w:r>
            <w:r>
              <w:rPr>
                <w:rFonts w:hint="default" w:ascii="仿宋" w:hAnsi="仿宋" w:eastAsia="仿宋" w:cs="仿宋"/>
                <w:i w:val="0"/>
                <w:iCs w:val="0"/>
                <w:caps w:val="0"/>
                <w:color w:val="000000"/>
                <w:spacing w:val="0"/>
                <w:sz w:val="24"/>
                <w:szCs w:val="24"/>
                <w:shd w:val="clear" w:fill="FFFFFF"/>
                <w:lang w:val="en-US" w:eastAsia="zh-CN"/>
              </w:rPr>
              <w:t>能运用所学知识分析常见疾病的用药方案，提供基础的用药指导。</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39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1.掌握人体各系统的解剖生理知识，能解释常见疾病的发生机制。</w:t>
            </w:r>
          </w:p>
          <w:p w14:paraId="2F38B1A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2.理解药物的分类、作用及合理用药原则，熟悉常见药物的临床应用。</w:t>
            </w:r>
          </w:p>
          <w:p w14:paraId="1685ED2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3.了解药事管理法规和药品制剂的基本原理，具备药品储存、管理的基础知识。</w:t>
            </w:r>
            <w:r>
              <w:rPr>
                <w:rFonts w:hint="eastAsia" w:ascii="仿宋" w:hAnsi="仿宋" w:eastAsia="仿宋" w:cs="仿宋"/>
                <w:i w:val="0"/>
                <w:iCs w:val="0"/>
                <w:caps w:val="0"/>
                <w:color w:val="000000"/>
                <w:spacing w:val="0"/>
                <w:sz w:val="24"/>
                <w:szCs w:val="24"/>
                <w:shd w:val="clear" w:fill="FFFFFF"/>
              </w:rPr>
              <w:t>。</w:t>
            </w:r>
          </w:p>
          <w:p w14:paraId="5F24DFC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4.规范操作常用医药仪器（如进行药物称量、溶液配制），完成基础药剂学实验。</w:t>
            </w:r>
          </w:p>
        </w:tc>
      </w:tr>
      <w:tr w14:paraId="77E65153">
        <w:tblPrEx>
          <w:tblCellMar>
            <w:top w:w="0" w:type="dxa"/>
            <w:left w:w="108" w:type="dxa"/>
            <w:bottom w:w="0" w:type="dxa"/>
            <w:right w:w="108" w:type="dxa"/>
          </w:tblCellMar>
        </w:tblPrEx>
        <w:trPr>
          <w:trHeight w:val="495"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B1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5B7">
            <w:pPr>
              <w:keepNext w:val="0"/>
              <w:keepLines w:val="0"/>
              <w:pageBreakBefore w:val="0"/>
              <w:widowControl/>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药用基础化学</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85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培养严谨的科学态度、规范的操作习惯（符合医药行业 GMP 规范要求），增强安全意识（如化学试剂的安全使用）</w:t>
            </w:r>
            <w:r>
              <w:rPr>
                <w:rFonts w:hint="eastAsia" w:ascii="仿宋" w:hAnsi="仿宋" w:eastAsia="仿宋" w:cs="仿宋"/>
                <w:i w:val="0"/>
                <w:iCs w:val="0"/>
                <w:caps w:val="0"/>
                <w:color w:val="000000"/>
                <w:spacing w:val="0"/>
                <w:sz w:val="24"/>
                <w:szCs w:val="24"/>
                <w:shd w:val="clear" w:fill="FFFFFF"/>
                <w:lang w:eastAsia="zh-CN"/>
              </w:rPr>
              <w:t>。</w:t>
            </w:r>
          </w:p>
          <w:p w14:paraId="5B94B3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Segoe UI" w:hAnsi="Segoe UI" w:eastAsia="Segoe UI" w:cs="Segoe UI"/>
                <w:i w:val="0"/>
                <w:iCs w:val="0"/>
                <w:caps w:val="0"/>
                <w:color w:val="1C1F23"/>
                <w:spacing w:val="0"/>
                <w:sz w:val="27"/>
                <w:szCs w:val="27"/>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理解化学在医药卫生领域的重要性（如药物研发对人类健康的贡献），树立服务医药行业的职业认同感。。</w:t>
            </w:r>
          </w:p>
          <w:p w14:paraId="739D12B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Segoe UI" w:hAnsi="Segoe UI" w:eastAsia="Segoe UI" w:cs="Segoe UI"/>
                <w:i w:val="0"/>
                <w:iCs w:val="0"/>
                <w:caps w:val="0"/>
                <w:color w:val="1C1F23"/>
                <w:spacing w:val="0"/>
                <w:sz w:val="27"/>
                <w:szCs w:val="27"/>
                <w:shd w:val="clear" w:fill="FFFFFF"/>
                <w:lang w:val="en-US" w:eastAsia="zh-CN"/>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D7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掌握化学基本概念、原理及常见物质的性质，理解化学与医药学的内在联系（如电解质溶液与人体体液的关系）。</w:t>
            </w:r>
          </w:p>
          <w:p w14:paraId="415F53C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熟悉有机化合物的结构、分类及典型反应，为学习药物化学、药剂学等专业课程奠定基础（如通过有机反应原理理解药物合成路径）。</w:t>
            </w:r>
          </w:p>
          <w:p w14:paraId="4D2DC5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了解化学实验的基本操作和技能，正确使用仪器（如天平、滴定管），处理实验数据并分析结果</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能运用化学知识解释医药领域中的常见现象（如药物剂型设计中的化学稳定性问题）。</w:t>
            </w:r>
          </w:p>
        </w:tc>
      </w:tr>
      <w:tr w14:paraId="56B6CDFE">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F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42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药事管理与法规</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BEC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树立 “药品安全第一” 的职业意识，强化药学职业道德观念，培养对患者和社会负责的职业态度。</w:t>
            </w:r>
          </w:p>
          <w:p w14:paraId="71F791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提升合规意识和法律风险防范意识，明确药事活动中的责任边界，养成严谨、规范的工作习惯。</w:t>
            </w: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EC8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理解药事管理的基本概念和法律法规体系，掌握药品全生命周期（研制、生产、经营、使用）的管理要求。</w:t>
            </w:r>
          </w:p>
          <w:p w14:paraId="76D8A92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熟悉《药品管理法》等核心法规的关键条款，能区分合法与违法行为的界限。</w:t>
            </w:r>
          </w:p>
          <w:p w14:paraId="587929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掌握特殊管理药品、处方药与非处方药的分类管理规则及操作要点。。</w:t>
            </w:r>
          </w:p>
        </w:tc>
      </w:tr>
      <w:tr w14:paraId="1288C49B">
        <w:tblPrEx>
          <w:tblCellMar>
            <w:top w:w="0" w:type="dxa"/>
            <w:left w:w="108" w:type="dxa"/>
            <w:bottom w:w="0" w:type="dxa"/>
            <w:right w:w="108"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53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AA5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bidi="ar"/>
              </w:rPr>
              <w:t>医药安全生产基础</w:t>
            </w:r>
          </w:p>
        </w:tc>
        <w:tc>
          <w:tcPr>
            <w:tcW w:w="3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308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培养学生的安全生产意识和职业责任感，使学生认识到安全生产对于个人、企业和社会的重要性</w:t>
            </w:r>
            <w:r>
              <w:rPr>
                <w:rFonts w:hint="eastAsia" w:ascii="仿宋" w:hAnsi="仿宋" w:eastAsia="仿宋" w:cs="仿宋"/>
                <w:i w:val="0"/>
                <w:iCs w:val="0"/>
                <w:caps w:val="0"/>
                <w:color w:val="000000"/>
                <w:spacing w:val="0"/>
                <w:sz w:val="24"/>
                <w:szCs w:val="24"/>
                <w:shd w:val="clear" w:fill="FFFFFF"/>
                <w:lang w:eastAsia="zh-CN"/>
              </w:rPr>
              <w:t>。</w:t>
            </w:r>
          </w:p>
          <w:p w14:paraId="0CA3AF1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养成严谨的工作态度和良好的职业习惯，提高学生的安全素养和自我保护能力，为未来从事医药行业工作奠定坚实的安全基础。</w:t>
            </w:r>
          </w:p>
          <w:p w14:paraId="7131C5E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default" w:ascii="仿宋" w:hAnsi="仿宋" w:eastAsia="仿宋" w:cs="仿宋"/>
                <w:i w:val="0"/>
                <w:iCs w:val="0"/>
                <w:caps w:val="0"/>
                <w:color w:val="000000"/>
                <w:spacing w:val="0"/>
                <w:sz w:val="24"/>
                <w:szCs w:val="24"/>
                <w:shd w:val="clear" w:fill="FFFFFF"/>
              </w:rPr>
              <w:t>能够根据不同的工作场景选择合适的个体防护装备，并正确使用和维护。</w:t>
            </w:r>
          </w:p>
          <w:p w14:paraId="749B47BF">
            <w:pPr>
              <w:keepNext w:val="0"/>
              <w:keepLines w:val="0"/>
              <w:pageBreakBefore w:val="0"/>
              <w:widowControl/>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auto"/>
                <w:kern w:val="0"/>
                <w:sz w:val="24"/>
                <w:szCs w:val="24"/>
                <w:lang w:val="en-US" w:eastAsia="zh-CN" w:bidi="ar"/>
              </w:rPr>
            </w:pPr>
          </w:p>
        </w:tc>
        <w:tc>
          <w:tcPr>
            <w:tcW w:w="3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A1E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1.</w:t>
            </w:r>
            <w:r>
              <w:rPr>
                <w:rFonts w:hint="eastAsia" w:ascii="仿宋" w:hAnsi="仿宋" w:eastAsia="仿宋" w:cs="仿宋"/>
                <w:i w:val="0"/>
                <w:iCs w:val="0"/>
                <w:caps w:val="0"/>
                <w:color w:val="000000"/>
                <w:spacing w:val="0"/>
                <w:sz w:val="24"/>
                <w:szCs w:val="24"/>
                <w:shd w:val="clear" w:fill="FFFFFF"/>
              </w:rPr>
              <w:t>了解医药安全生产的重要性</w:t>
            </w:r>
            <w:r>
              <w:rPr>
                <w:rFonts w:hint="eastAsia" w:ascii="仿宋" w:hAnsi="仿宋" w:eastAsia="仿宋" w:cs="仿宋"/>
                <w:i w:val="0"/>
                <w:iCs w:val="0"/>
                <w:caps w:val="0"/>
                <w:color w:val="000000"/>
                <w:spacing w:val="0"/>
                <w:sz w:val="24"/>
                <w:szCs w:val="24"/>
                <w:shd w:val="clear" w:fill="FFFFFF"/>
                <w:lang w:eastAsia="zh-CN"/>
              </w:rPr>
              <w:t>。</w:t>
            </w:r>
          </w:p>
          <w:p w14:paraId="13084B0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lang w:eastAsia="zh-CN"/>
              </w:rPr>
            </w:pPr>
            <w:r>
              <w:rPr>
                <w:rFonts w:hint="eastAsia" w:ascii="仿宋" w:hAnsi="仿宋" w:eastAsia="仿宋" w:cs="仿宋"/>
                <w:i w:val="0"/>
                <w:iCs w:val="0"/>
                <w:caps w:val="0"/>
                <w:color w:val="000000"/>
                <w:spacing w:val="0"/>
                <w:sz w:val="24"/>
                <w:szCs w:val="24"/>
                <w:shd w:val="clear" w:fill="FFFFFF"/>
                <w:lang w:val="en-US" w:eastAsia="zh-CN"/>
              </w:rPr>
              <w:t>2.</w:t>
            </w:r>
            <w:r>
              <w:rPr>
                <w:rFonts w:hint="eastAsia" w:ascii="仿宋" w:hAnsi="仿宋" w:eastAsia="仿宋" w:cs="仿宋"/>
                <w:i w:val="0"/>
                <w:iCs w:val="0"/>
                <w:caps w:val="0"/>
                <w:color w:val="000000"/>
                <w:spacing w:val="0"/>
                <w:sz w:val="24"/>
                <w:szCs w:val="24"/>
                <w:shd w:val="clear" w:fill="FFFFFF"/>
              </w:rPr>
              <w:t>熟悉我国和企业相关的安全生产法律法规和管理制度</w:t>
            </w:r>
            <w:r>
              <w:rPr>
                <w:rFonts w:hint="eastAsia" w:ascii="仿宋" w:hAnsi="仿宋" w:eastAsia="仿宋" w:cs="仿宋"/>
                <w:i w:val="0"/>
                <w:iCs w:val="0"/>
                <w:caps w:val="0"/>
                <w:color w:val="000000"/>
                <w:spacing w:val="0"/>
                <w:sz w:val="24"/>
                <w:szCs w:val="24"/>
                <w:shd w:val="clear" w:fill="FFFFFF"/>
                <w:lang w:eastAsia="zh-CN"/>
              </w:rPr>
              <w:t>。</w:t>
            </w:r>
          </w:p>
          <w:p w14:paraId="3DE0C86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3.</w:t>
            </w:r>
            <w:r>
              <w:rPr>
                <w:rFonts w:hint="eastAsia" w:ascii="仿宋" w:hAnsi="仿宋" w:eastAsia="仿宋" w:cs="仿宋"/>
                <w:i w:val="0"/>
                <w:iCs w:val="0"/>
                <w:caps w:val="0"/>
                <w:color w:val="000000"/>
                <w:spacing w:val="0"/>
                <w:sz w:val="24"/>
                <w:szCs w:val="24"/>
                <w:shd w:val="clear" w:fill="FFFFFF"/>
              </w:rPr>
              <w:t>掌握药品生产、实验室操作、医疗设备使用等过程中的安全知识和技能，以及常见职业病的预防和个体防护装备的选择方法。</w:t>
            </w:r>
          </w:p>
          <w:p w14:paraId="3E1CFED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default"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lang w:val="en-US" w:eastAsia="zh-CN"/>
              </w:rPr>
              <w:t>4.</w:t>
            </w:r>
            <w:r>
              <w:rPr>
                <w:rFonts w:hint="default" w:ascii="仿宋" w:hAnsi="仿宋" w:eastAsia="仿宋" w:cs="仿宋"/>
                <w:i w:val="0"/>
                <w:iCs w:val="0"/>
                <w:caps w:val="0"/>
                <w:color w:val="000000"/>
                <w:spacing w:val="0"/>
                <w:sz w:val="24"/>
                <w:szCs w:val="24"/>
                <w:shd w:val="clear" w:fill="FFFFFF"/>
              </w:rPr>
              <w:t>正确识别医药生产过程中的各类安全风险，掌握相应的防范措施和应急处理方法。</w:t>
            </w:r>
          </w:p>
          <w:p w14:paraId="4F9F15E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i w:val="0"/>
                <w:iCs w:val="0"/>
                <w:caps w:val="0"/>
                <w:color w:val="000000"/>
                <w:spacing w:val="0"/>
                <w:sz w:val="24"/>
                <w:szCs w:val="24"/>
                <w:shd w:val="clear" w:fill="FFFFFF"/>
                <w:lang w:val="en-US" w:eastAsia="zh-CN"/>
              </w:rPr>
              <w:t>5.</w:t>
            </w:r>
            <w:r>
              <w:rPr>
                <w:rFonts w:hint="eastAsia" w:ascii="仿宋" w:hAnsi="仿宋" w:eastAsia="仿宋" w:cs="仿宋"/>
                <w:i w:val="0"/>
                <w:iCs w:val="0"/>
                <w:caps w:val="0"/>
                <w:color w:val="000000"/>
                <w:spacing w:val="0"/>
                <w:sz w:val="24"/>
                <w:szCs w:val="24"/>
                <w:shd w:val="clear" w:fill="FFFFFF"/>
              </w:rPr>
              <w:t>熟练操作生产设备和实验室仪器，遵守安全操作规程</w:t>
            </w:r>
            <w:r>
              <w:rPr>
                <w:rFonts w:hint="eastAsia" w:ascii="仿宋" w:hAnsi="仿宋" w:eastAsia="仿宋" w:cs="仿宋"/>
                <w:i w:val="0"/>
                <w:iCs w:val="0"/>
                <w:caps w:val="0"/>
                <w:color w:val="000000"/>
                <w:spacing w:val="0"/>
                <w:sz w:val="24"/>
                <w:szCs w:val="24"/>
                <w:shd w:val="clear" w:fill="FFFFFF"/>
                <w:lang w:eastAsia="zh-CN"/>
              </w:rPr>
              <w:t>。</w:t>
            </w:r>
          </w:p>
        </w:tc>
      </w:tr>
    </w:tbl>
    <w:p w14:paraId="3C02717E">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3.专业核心课程</w:t>
      </w:r>
    </w:p>
    <w:tbl>
      <w:tblPr>
        <w:tblStyle w:val="14"/>
        <w:tblpPr w:leftFromText="180" w:rightFromText="180" w:vertAnchor="text" w:horzAnchor="page" w:tblpX="1618" w:tblpY="101"/>
        <w:tblOverlap w:val="never"/>
        <w:tblW w:w="87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213"/>
        <w:gridCol w:w="2895"/>
        <w:gridCol w:w="3758"/>
      </w:tblGrid>
      <w:tr w14:paraId="36547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033E71B5">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序号</w:t>
            </w:r>
          </w:p>
        </w:tc>
        <w:tc>
          <w:tcPr>
            <w:tcW w:w="1213" w:type="dxa"/>
            <w:tcBorders>
              <w:top w:val="single" w:color="000000" w:sz="6" w:space="0"/>
            </w:tcBorders>
            <w:vAlign w:val="center"/>
          </w:tcPr>
          <w:p w14:paraId="7F39E9DD">
            <w:pPr>
              <w:widowControl/>
              <w:jc w:val="center"/>
              <w:textAlignment w:val="center"/>
              <w:rPr>
                <w:rFonts w:hint="eastAsia" w:ascii="仿宋" w:hAnsi="仿宋" w:eastAsia="仿宋" w:cs="仿宋"/>
                <w:b/>
                <w:bCs/>
                <w:color w:val="000000"/>
                <w:kern w:val="0"/>
                <w:sz w:val="24"/>
                <w:szCs w:val="24"/>
                <w:lang w:eastAsia="zh-CN" w:bidi="ar"/>
              </w:rPr>
            </w:pPr>
            <w:r>
              <w:rPr>
                <w:rFonts w:hint="eastAsia" w:ascii="仿宋" w:hAnsi="仿宋" w:eastAsia="仿宋" w:cs="仿宋"/>
                <w:b/>
                <w:bCs/>
                <w:color w:val="000000"/>
                <w:kern w:val="0"/>
                <w:sz w:val="24"/>
                <w:szCs w:val="24"/>
                <w:lang w:eastAsia="zh-CN" w:bidi="ar"/>
              </w:rPr>
              <w:t>课程</w:t>
            </w:r>
          </w:p>
        </w:tc>
        <w:tc>
          <w:tcPr>
            <w:tcW w:w="2895" w:type="dxa"/>
            <w:tcBorders>
              <w:top w:val="single" w:color="000000" w:sz="6" w:space="0"/>
            </w:tcBorders>
            <w:vAlign w:val="center"/>
          </w:tcPr>
          <w:p w14:paraId="3EF7805B">
            <w:pPr>
              <w:widowControl/>
              <w:jc w:val="center"/>
              <w:textAlignment w:val="center"/>
              <w:rPr>
                <w:rFonts w:hint="default"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课程目标</w:t>
            </w:r>
          </w:p>
        </w:tc>
        <w:tc>
          <w:tcPr>
            <w:tcW w:w="3758" w:type="dxa"/>
            <w:tcBorders>
              <w:top w:val="single" w:color="000000" w:sz="6" w:space="0"/>
              <w:right w:val="single" w:color="000000" w:sz="6" w:space="0"/>
            </w:tcBorders>
            <w:vAlign w:val="center"/>
          </w:tcPr>
          <w:p w14:paraId="7B0867F1">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主要教学内容与要求</w:t>
            </w:r>
          </w:p>
        </w:tc>
      </w:tr>
      <w:tr w14:paraId="570B6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836" w:type="dxa"/>
            <w:tcBorders>
              <w:left w:val="single" w:color="000000" w:sz="6" w:space="0"/>
            </w:tcBorders>
            <w:vAlign w:val="top"/>
          </w:tcPr>
          <w:p w14:paraId="25059BB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43D98E8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2EA24C8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4B516E6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30CCEB6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213" w:type="dxa"/>
            <w:vAlign w:val="top"/>
          </w:tcPr>
          <w:p w14:paraId="3C8909C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2ABE465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73974CD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6730569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5CD7BE3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药理学</w:t>
            </w:r>
          </w:p>
        </w:tc>
        <w:tc>
          <w:tcPr>
            <w:tcW w:w="2895" w:type="dxa"/>
            <w:vAlign w:val="top"/>
          </w:tcPr>
          <w:p w14:paraId="4CA6D3F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6B70561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3F94D01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44DE714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46E00AE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①用药理知识进行常用药物的用药指导。</w:t>
            </w:r>
          </w:p>
          <w:p w14:paraId="6650B55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②对常见病、慢性病合理</w:t>
            </w:r>
          </w:p>
          <w:p w14:paraId="1F623C6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用药。</w:t>
            </w:r>
          </w:p>
          <w:p w14:paraId="5EE7D88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p>
        </w:tc>
        <w:tc>
          <w:tcPr>
            <w:tcW w:w="3758" w:type="dxa"/>
            <w:tcBorders>
              <w:right w:val="single" w:color="000000" w:sz="6" w:space="0"/>
            </w:tcBorders>
            <w:vAlign w:val="top"/>
          </w:tcPr>
          <w:p w14:paraId="76CE656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教学内容：</w:t>
            </w:r>
          </w:p>
          <w:p w14:paraId="09E30CBF">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药理学的基础知识、实验技能和基本的实验方法。</w:t>
            </w:r>
          </w:p>
          <w:p w14:paraId="775C93EC">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②</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典型药物的分类、理化性质、鉴别方法、药理作用、体内过程、临床用途、注意事项、不良反应</w:t>
            </w:r>
            <w:r>
              <w:rPr>
                <w:rFonts w:hint="eastAsia" w:ascii="仿宋" w:hAnsi="仿宋" w:eastAsia="仿宋" w:cs="仿宋"/>
                <w:color w:val="000000"/>
                <w:kern w:val="0"/>
                <w:sz w:val="24"/>
                <w:szCs w:val="24"/>
                <w:lang w:eastAsia="zh-CN" w:bidi="ar"/>
              </w:rPr>
              <w:t>。</w:t>
            </w:r>
          </w:p>
          <w:p w14:paraId="2B98A492">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w:t>
            </w:r>
            <w:r>
              <w:rPr>
                <w:rFonts w:hint="eastAsia" w:ascii="仿宋" w:hAnsi="仿宋" w:eastAsia="仿宋" w:cs="仿宋"/>
                <w:color w:val="000000"/>
                <w:kern w:val="0"/>
                <w:sz w:val="24"/>
                <w:szCs w:val="24"/>
                <w:lang w:eastAsia="zh-CN" w:bidi="ar"/>
              </w:rPr>
              <w:t>能</w:t>
            </w:r>
            <w:r>
              <w:rPr>
                <w:rFonts w:hint="eastAsia" w:ascii="仿宋" w:hAnsi="仿宋" w:eastAsia="仿宋" w:cs="仿宋"/>
                <w:color w:val="000000"/>
                <w:kern w:val="0"/>
                <w:sz w:val="24"/>
                <w:szCs w:val="24"/>
                <w:lang w:bidi="ar"/>
              </w:rPr>
              <w:t>运用药理知识推荐常见病用药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根据药物临床用途、注意事项、不良反应指导患者合理用药。</w:t>
            </w:r>
          </w:p>
          <w:p w14:paraId="05022E01">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bidi="ar"/>
              </w:rPr>
              <w:t>④</w:t>
            </w:r>
            <w:r>
              <w:rPr>
                <w:rFonts w:hint="eastAsia" w:ascii="仿宋" w:hAnsi="仿宋" w:eastAsia="仿宋" w:cs="仿宋"/>
                <w:color w:val="000000"/>
                <w:kern w:val="0"/>
                <w:sz w:val="24"/>
                <w:szCs w:val="24"/>
                <w:lang w:bidi="ar"/>
              </w:rPr>
              <w:t>能对药物作用进行客观观察、比较、分析</w:t>
            </w:r>
            <w:r>
              <w:rPr>
                <w:rFonts w:hint="eastAsia" w:ascii="仿宋" w:hAnsi="仿宋" w:eastAsia="仿宋" w:cs="仿宋"/>
                <w:color w:val="000000"/>
                <w:kern w:val="0"/>
                <w:sz w:val="24"/>
                <w:szCs w:val="24"/>
                <w:lang w:eastAsia="zh-CN" w:bidi="ar"/>
              </w:rPr>
              <w:t>。</w:t>
            </w:r>
          </w:p>
        </w:tc>
      </w:tr>
      <w:tr w14:paraId="0A6A2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36" w:type="dxa"/>
            <w:tcBorders>
              <w:left w:val="single" w:color="000000" w:sz="6" w:space="0"/>
            </w:tcBorders>
            <w:vAlign w:val="center"/>
          </w:tcPr>
          <w:p w14:paraId="5470805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213" w:type="dxa"/>
            <w:vAlign w:val="center"/>
          </w:tcPr>
          <w:p w14:paraId="24A040E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药</w:t>
            </w:r>
            <w:r>
              <w:rPr>
                <w:rFonts w:hint="eastAsia" w:ascii="仿宋" w:hAnsi="仿宋" w:eastAsia="仿宋" w:cs="仿宋"/>
                <w:color w:val="000000"/>
                <w:kern w:val="0"/>
                <w:sz w:val="24"/>
                <w:szCs w:val="24"/>
                <w:lang w:bidi="ar"/>
              </w:rPr>
              <w:t>物化学</w:t>
            </w:r>
          </w:p>
        </w:tc>
        <w:tc>
          <w:tcPr>
            <w:tcW w:w="2895" w:type="dxa"/>
            <w:vAlign w:val="top"/>
          </w:tcPr>
          <w:p w14:paraId="38027CF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进行分离、提取、纯化等实验室操作。</w:t>
            </w:r>
          </w:p>
          <w:p w14:paraId="152B367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进行常用原料中间体的合成操作。</w:t>
            </w:r>
          </w:p>
          <w:p w14:paraId="58CAC90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进行常用典型化学药物的合成操作。</w:t>
            </w:r>
          </w:p>
          <w:p w14:paraId="2C97043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 按照药物的理化性质判断其储存条件</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vAlign w:val="top"/>
          </w:tcPr>
          <w:p w14:paraId="66F8675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 xml:space="preserve">① </w:t>
            </w:r>
            <w:r>
              <w:rPr>
                <w:rFonts w:hint="eastAsia" w:ascii="仿宋" w:hAnsi="仿宋" w:eastAsia="仿宋" w:cs="仿宋"/>
                <w:color w:val="000000"/>
                <w:kern w:val="0"/>
                <w:sz w:val="24"/>
                <w:szCs w:val="24"/>
                <w:lang w:eastAsia="zh-CN" w:bidi="ar"/>
              </w:rPr>
              <w:t>掌握药物化学的基本理论、基本知识和基本技能，能</w:t>
            </w:r>
            <w:r>
              <w:rPr>
                <w:rFonts w:hint="eastAsia" w:ascii="仿宋" w:hAnsi="仿宋" w:eastAsia="仿宋" w:cs="仿宋"/>
                <w:color w:val="000000"/>
                <w:kern w:val="0"/>
                <w:sz w:val="24"/>
                <w:szCs w:val="24"/>
                <w:lang w:val="en-US" w:eastAsia="zh-CN" w:bidi="ar"/>
              </w:rPr>
              <w:t>合成操作常用化学药物及中间体。</w:t>
            </w:r>
          </w:p>
          <w:p w14:paraId="353A0DE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②熟悉常用药物的结构及药理作用、制备路线，了解</w:t>
            </w:r>
            <w:r>
              <w:rPr>
                <w:rFonts w:hint="eastAsia" w:ascii="仿宋" w:hAnsi="仿宋" w:eastAsia="仿宋" w:cs="仿宋"/>
                <w:color w:val="000000"/>
                <w:kern w:val="0"/>
                <w:sz w:val="24"/>
                <w:szCs w:val="24"/>
                <w:lang w:val="en-US" w:eastAsia="zh-CN" w:bidi="ar"/>
              </w:rPr>
              <w:t>药物主要性质对制剂、储存、运输、使用的影响</w:t>
            </w:r>
            <w:r>
              <w:rPr>
                <w:rFonts w:hint="eastAsia" w:ascii="仿宋" w:hAnsi="仿宋" w:eastAsia="仿宋" w:cs="仿宋"/>
                <w:color w:val="000000"/>
                <w:kern w:val="0"/>
                <w:sz w:val="24"/>
                <w:szCs w:val="24"/>
                <w:lang w:eastAsia="zh-CN" w:bidi="ar"/>
              </w:rPr>
              <w:t>。</w:t>
            </w:r>
          </w:p>
          <w:p w14:paraId="25DECA1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③ 掌握重要药物的构效关系和寻找新药的基本理论与途径。</w:t>
            </w:r>
          </w:p>
        </w:tc>
      </w:tr>
      <w:tr w14:paraId="619E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836" w:type="dxa"/>
            <w:tcBorders>
              <w:left w:val="single" w:color="000000" w:sz="6" w:space="0"/>
            </w:tcBorders>
            <w:vAlign w:val="center"/>
          </w:tcPr>
          <w:p w14:paraId="01DBC74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213" w:type="dxa"/>
            <w:vAlign w:val="center"/>
          </w:tcPr>
          <w:p w14:paraId="5FA4581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药品生产质量管理规范实务</w:t>
            </w:r>
          </w:p>
        </w:tc>
        <w:tc>
          <w:tcPr>
            <w:tcW w:w="2895" w:type="dxa"/>
            <w:vAlign w:val="top"/>
          </w:tcPr>
          <w:p w14:paraId="1A434F05">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_GB2312" w:hAnsi="仿宋_GB2312" w:eastAsia="仿宋_GB2312" w:cs="仿宋_GB2312"/>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按规范进出洁净区。</w:t>
            </w:r>
          </w:p>
          <w:p w14:paraId="1DCF1924">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读懂生产指令，正确接收物料。</w:t>
            </w:r>
          </w:p>
          <w:p w14:paraId="1060CAE4">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③ 按照岗位操作法和标准操作规程完成制剂生产。</w:t>
            </w:r>
          </w:p>
          <w:p w14:paraId="206F3B29">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④ 规范填写批生产记录。</w:t>
            </w:r>
          </w:p>
          <w:p w14:paraId="48189288">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⑤ 进行物料平衡计算。</w:t>
            </w:r>
          </w:p>
          <w:p w14:paraId="615B7892">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⑥ 进行清场操作。</w:t>
            </w:r>
          </w:p>
          <w:p w14:paraId="292ADB47">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⑦ 进行药品生产现场质量管理与文件管理。</w:t>
            </w:r>
          </w:p>
          <w:p w14:paraId="05AF39CF">
            <w:pPr>
              <w:keepNext w:val="0"/>
              <w:keepLines w:val="0"/>
              <w:pageBreakBefore w:val="0"/>
              <w:widowControl/>
              <w:numPr>
                <w:ilvl w:val="0"/>
                <w:numId w:val="0"/>
              </w:numPr>
              <w:kinsoku/>
              <w:wordWrap/>
              <w:overflowPunct/>
              <w:topLinePunct w:val="0"/>
              <w:autoSpaceDE/>
              <w:autoSpaceDN/>
              <w:bidi w:val="0"/>
              <w:adjustRightInd/>
              <w:snapToGrid/>
              <w:spacing w:line="400" w:lineRule="exact"/>
              <w:ind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⑧ 跟踪、执行和宣贯药品生产质量管理规范</w:t>
            </w:r>
          </w:p>
        </w:tc>
        <w:tc>
          <w:tcPr>
            <w:tcW w:w="3758" w:type="dxa"/>
            <w:tcBorders>
              <w:right w:val="single" w:color="000000" w:sz="6" w:space="0"/>
            </w:tcBorders>
            <w:vAlign w:val="top"/>
          </w:tcPr>
          <w:p w14:paraId="486A623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① </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药品生产企业厂房设计、人员与培训、设施设备、确认与验证、质量控制与质量保证等质量管理要求。</w:t>
            </w:r>
          </w:p>
          <w:p w14:paraId="18E680A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② </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药品生产前准备、生产过程、生产后清场、产品放行等各环节规范操作和进行质量管理。</w:t>
            </w:r>
          </w:p>
          <w:p w14:paraId="6228706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tc>
      </w:tr>
      <w:tr w14:paraId="547A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vAlign w:val="top"/>
          </w:tcPr>
          <w:p w14:paraId="31AFFBB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028D314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15CCB10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55EC349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213" w:type="dxa"/>
            <w:vAlign w:val="top"/>
          </w:tcPr>
          <w:p w14:paraId="79A5FF8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53F4035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72BBA1B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3F632FB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药物制剂设备</w:t>
            </w:r>
          </w:p>
        </w:tc>
        <w:tc>
          <w:tcPr>
            <w:tcW w:w="2895" w:type="dxa"/>
            <w:vAlign w:val="top"/>
          </w:tcPr>
          <w:p w14:paraId="6091F76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正确使用制剂生产设备。</w:t>
            </w:r>
          </w:p>
          <w:p w14:paraId="4487579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分析、解决生产操作过程中出现的常见设备故障问题。</w:t>
            </w:r>
          </w:p>
          <w:p w14:paraId="622C346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_GB2312" w:cs="仿宋"/>
                <w:color w:val="000000"/>
                <w:kern w:val="0"/>
                <w:sz w:val="24"/>
                <w:szCs w:val="24"/>
                <w:lang w:eastAsia="zh-CN" w:bidi="ar"/>
              </w:rPr>
            </w:pPr>
            <w:r>
              <w:rPr>
                <w:rFonts w:hint="eastAsia" w:ascii="仿宋" w:hAnsi="仿宋" w:eastAsia="仿宋" w:cs="仿宋"/>
                <w:color w:val="000000"/>
                <w:kern w:val="0"/>
                <w:sz w:val="24"/>
                <w:szCs w:val="24"/>
                <w:lang w:bidi="ar"/>
              </w:rPr>
              <w:t>③ 进行生产设备的维护和保养，进行安全生产检查</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vAlign w:val="top"/>
          </w:tcPr>
          <w:p w14:paraId="09C6001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eastAsia="zh-CN" w:bidi="ar"/>
              </w:rPr>
              <w:t>掌握</w:t>
            </w:r>
            <w:r>
              <w:rPr>
                <w:rFonts w:hint="eastAsia" w:ascii="仿宋" w:hAnsi="仿宋" w:eastAsia="仿宋" w:cs="仿宋"/>
                <w:color w:val="000000"/>
                <w:kern w:val="0"/>
                <w:sz w:val="24"/>
                <w:szCs w:val="24"/>
                <w:lang w:bidi="ar"/>
              </w:rPr>
              <w:t>常见药物制剂设备的结构、工作原理、维护方法。</w:t>
            </w:r>
          </w:p>
          <w:p w14:paraId="0466FFD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eastAsia="zh-CN" w:bidi="ar"/>
              </w:rPr>
              <w:t>熟练</w:t>
            </w:r>
            <w:r>
              <w:rPr>
                <w:rFonts w:hint="eastAsia" w:ascii="仿宋" w:hAnsi="仿宋" w:eastAsia="仿宋" w:cs="仿宋"/>
                <w:color w:val="000000"/>
                <w:kern w:val="0"/>
                <w:sz w:val="24"/>
                <w:szCs w:val="24"/>
                <w:lang w:bidi="ar"/>
              </w:rPr>
              <w:t>使用</w:t>
            </w:r>
            <w:r>
              <w:rPr>
                <w:rFonts w:hint="eastAsia" w:ascii="仿宋" w:hAnsi="仿宋" w:eastAsia="仿宋" w:cs="仿宋"/>
                <w:color w:val="000000"/>
                <w:kern w:val="0"/>
                <w:sz w:val="24"/>
                <w:szCs w:val="24"/>
                <w:lang w:eastAsia="zh-CN" w:bidi="ar"/>
              </w:rPr>
              <w:t>、维护和保养</w:t>
            </w:r>
            <w:r>
              <w:rPr>
                <w:rFonts w:hint="eastAsia" w:ascii="仿宋" w:hAnsi="仿宋" w:eastAsia="仿宋" w:cs="仿宋"/>
                <w:color w:val="000000"/>
                <w:kern w:val="0"/>
                <w:sz w:val="24"/>
                <w:szCs w:val="24"/>
                <w:lang w:bidi="ar"/>
              </w:rPr>
              <w:t>制剂生产相应设备</w:t>
            </w:r>
            <w:r>
              <w:rPr>
                <w:rFonts w:hint="eastAsia" w:ascii="仿宋" w:hAnsi="仿宋" w:eastAsia="仿宋" w:cs="仿宋"/>
                <w:color w:val="000000"/>
                <w:kern w:val="0"/>
                <w:sz w:val="24"/>
                <w:szCs w:val="24"/>
                <w:lang w:eastAsia="zh-CN" w:bidi="ar"/>
              </w:rPr>
              <w:t>，并</w:t>
            </w:r>
            <w:r>
              <w:rPr>
                <w:rFonts w:hint="eastAsia" w:ascii="仿宋" w:hAnsi="仿宋" w:eastAsia="仿宋" w:cs="仿宋"/>
                <w:color w:val="000000"/>
                <w:kern w:val="0"/>
                <w:sz w:val="24"/>
                <w:szCs w:val="24"/>
                <w:lang w:bidi="ar"/>
              </w:rPr>
              <w:t>根据设备结构、工作原理，判断常见设备故障。</w:t>
            </w:r>
          </w:p>
          <w:p w14:paraId="4ABE299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eastAsia="zh-CN" w:bidi="ar"/>
              </w:rPr>
              <w:t>③</w:t>
            </w:r>
            <w:r>
              <w:rPr>
                <w:rFonts w:hint="eastAsia" w:ascii="仿宋" w:hAnsi="仿宋" w:eastAsia="仿宋" w:cs="仿宋"/>
                <w:color w:val="000000"/>
                <w:kern w:val="0"/>
                <w:sz w:val="24"/>
                <w:szCs w:val="24"/>
                <w:lang w:val="en-US" w:eastAsia="zh-CN" w:bidi="ar"/>
              </w:rPr>
              <w:t xml:space="preserve"> </w:t>
            </w:r>
            <w:r>
              <w:rPr>
                <w:rFonts w:hint="eastAsia" w:ascii="仿宋" w:hAnsi="仿宋" w:eastAsia="仿宋" w:cs="仿宋"/>
                <w:color w:val="000000"/>
                <w:kern w:val="0"/>
                <w:sz w:val="24"/>
                <w:szCs w:val="24"/>
                <w:lang w:eastAsia="zh-CN" w:bidi="ar"/>
              </w:rPr>
              <w:t>了解</w:t>
            </w:r>
            <w:r>
              <w:rPr>
                <w:rFonts w:hint="eastAsia" w:ascii="仿宋" w:hAnsi="仿宋" w:eastAsia="仿宋" w:cs="仿宋"/>
                <w:color w:val="000000"/>
                <w:kern w:val="0"/>
                <w:sz w:val="24"/>
                <w:szCs w:val="24"/>
                <w:lang w:bidi="ar"/>
              </w:rPr>
              <w:t>现代制剂生产中的设备要求和制剂设备发展状况。</w:t>
            </w:r>
          </w:p>
        </w:tc>
      </w:tr>
      <w:tr w14:paraId="02482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9" w:hRule="atLeast"/>
        </w:trPr>
        <w:tc>
          <w:tcPr>
            <w:tcW w:w="836" w:type="dxa"/>
            <w:tcBorders>
              <w:left w:val="single" w:color="000000" w:sz="6" w:space="0"/>
            </w:tcBorders>
            <w:shd w:val="clear" w:color="auto" w:fill="auto"/>
            <w:vAlign w:val="top"/>
          </w:tcPr>
          <w:p w14:paraId="331B4DE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329B6DD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1B2DD9F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3623BE8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5</w:t>
            </w:r>
          </w:p>
        </w:tc>
        <w:tc>
          <w:tcPr>
            <w:tcW w:w="1213" w:type="dxa"/>
            <w:shd w:val="clear" w:color="auto" w:fill="auto"/>
            <w:vAlign w:val="top"/>
          </w:tcPr>
          <w:p w14:paraId="5C59E45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580587B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65DD2C7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0065849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药物制剂技术</w:t>
            </w:r>
          </w:p>
          <w:p w14:paraId="479227D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val="en-US" w:eastAsia="zh-CN" w:bidi="ar"/>
              </w:rPr>
            </w:pPr>
          </w:p>
        </w:tc>
        <w:tc>
          <w:tcPr>
            <w:tcW w:w="2895" w:type="dxa"/>
            <w:shd w:val="clear" w:color="auto" w:fill="auto"/>
            <w:vAlign w:val="top"/>
          </w:tcPr>
          <w:p w14:paraId="5EEDB71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进行物料预处理。</w:t>
            </w:r>
          </w:p>
          <w:p w14:paraId="54EEA44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进行片剂生产、胶囊剂生产、颗粒剂生产、液体制剂生产、注射剂生产。</w:t>
            </w:r>
          </w:p>
          <w:p w14:paraId="66A2C7C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③ 进行制剂包装</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shd w:val="clear" w:color="auto" w:fill="auto"/>
            <w:vAlign w:val="top"/>
          </w:tcPr>
          <w:p w14:paraId="4E0692D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 xml:space="preserve">① </w:t>
            </w:r>
            <w:r>
              <w:rPr>
                <w:rFonts w:hint="eastAsia" w:ascii="仿宋" w:hAnsi="仿宋" w:eastAsia="仿宋" w:cs="仿宋"/>
                <w:color w:val="000000"/>
                <w:kern w:val="0"/>
                <w:sz w:val="24"/>
                <w:szCs w:val="24"/>
                <w:lang w:eastAsia="zh-CN" w:bidi="ar"/>
              </w:rPr>
              <w:t>熟悉药物制剂所具备的基本理论、基本知识和基本技术。</w:t>
            </w:r>
          </w:p>
          <w:p w14:paraId="7975A40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② 掌握常见剂型的定义、特点、质量要求、制备工艺等。③掌握药品生产的工艺流程、药物制剂各剂型的特点和质量要求。</w:t>
            </w:r>
          </w:p>
          <w:p w14:paraId="7673694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④</w:t>
            </w:r>
            <w:r>
              <w:rPr>
                <w:rFonts w:hint="eastAsia" w:ascii="仿宋" w:hAnsi="仿宋" w:eastAsia="仿宋" w:cs="仿宋"/>
                <w:color w:val="000000"/>
                <w:kern w:val="0"/>
                <w:sz w:val="24"/>
                <w:szCs w:val="24"/>
                <w:lang w:eastAsia="zh-CN" w:bidi="ar"/>
              </w:rPr>
              <w:t>掌握常用制剂的制备原理、制备方法完成制剂制备。</w:t>
            </w:r>
          </w:p>
        </w:tc>
      </w:tr>
      <w:tr w14:paraId="2A6C1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36" w:type="dxa"/>
            <w:tcBorders>
              <w:left w:val="single" w:color="000000" w:sz="6" w:space="0"/>
            </w:tcBorders>
            <w:shd w:val="clear" w:color="auto" w:fill="auto"/>
            <w:vAlign w:val="top"/>
          </w:tcPr>
          <w:p w14:paraId="2D6AFDB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03CE5E1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380FA57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bidi="ar"/>
              </w:rPr>
            </w:pPr>
          </w:p>
          <w:p w14:paraId="2C73725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6</w:t>
            </w:r>
          </w:p>
        </w:tc>
        <w:tc>
          <w:tcPr>
            <w:tcW w:w="1213" w:type="dxa"/>
            <w:shd w:val="clear" w:color="auto" w:fill="auto"/>
            <w:vAlign w:val="top"/>
          </w:tcPr>
          <w:p w14:paraId="46CD5F0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3C23C88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2625A79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p>
          <w:p w14:paraId="230893A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药物检验技术</w:t>
            </w:r>
          </w:p>
        </w:tc>
        <w:tc>
          <w:tcPr>
            <w:tcW w:w="2895" w:type="dxa"/>
            <w:shd w:val="clear" w:color="auto" w:fill="auto"/>
            <w:vAlign w:val="top"/>
          </w:tcPr>
          <w:p w14:paraId="07FE4C3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① 进行重量差异检查、装量差异检查、含量均匀度检查。</w:t>
            </w:r>
          </w:p>
          <w:p w14:paraId="4B90D71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② 进行粒度检查、干燥失重检查、崩解限度检查、脆碎度检查。</w:t>
            </w:r>
          </w:p>
          <w:p w14:paraId="70A0BD7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③ 进行微生物限度检查、可见异物检查</w:t>
            </w:r>
            <w:r>
              <w:rPr>
                <w:rFonts w:hint="eastAsia" w:ascii="仿宋" w:hAnsi="仿宋" w:eastAsia="仿宋" w:cs="仿宋"/>
                <w:color w:val="000000"/>
                <w:kern w:val="0"/>
                <w:sz w:val="24"/>
                <w:szCs w:val="24"/>
                <w:lang w:eastAsia="zh-CN" w:bidi="ar"/>
              </w:rPr>
              <w:t>。</w:t>
            </w:r>
          </w:p>
        </w:tc>
        <w:tc>
          <w:tcPr>
            <w:tcW w:w="3758" w:type="dxa"/>
            <w:tcBorders>
              <w:right w:val="single" w:color="000000" w:sz="6" w:space="0"/>
            </w:tcBorders>
            <w:shd w:val="clear" w:color="auto" w:fill="auto"/>
            <w:vAlign w:val="top"/>
          </w:tcPr>
          <w:p w14:paraId="3DF70D4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 xml:space="preserve">① </w:t>
            </w:r>
            <w:r>
              <w:rPr>
                <w:rFonts w:hint="eastAsia" w:ascii="仿宋" w:hAnsi="仿宋" w:eastAsia="仿宋" w:cs="仿宋"/>
                <w:color w:val="000000"/>
                <w:kern w:val="0"/>
                <w:sz w:val="24"/>
                <w:szCs w:val="24"/>
                <w:lang w:eastAsia="zh-CN" w:bidi="ar"/>
              </w:rPr>
              <w:t>掌握药物检验所必备的基本理论、基本知识和基本技术。</w:t>
            </w:r>
          </w:p>
          <w:p w14:paraId="2DD9C51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② 掌握化学药物及其制剂的鉴别、杂质检查和含量测定的原理和方法等。</w:t>
            </w:r>
          </w:p>
          <w:p w14:paraId="7A6B560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③熟练进行药品化学检验检测、微生物检验检测、制剂分析等操作。</w:t>
            </w:r>
          </w:p>
        </w:tc>
      </w:tr>
    </w:tbl>
    <w:p w14:paraId="7B23AA94">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4.专业拓展课程</w:t>
      </w:r>
    </w:p>
    <w:tbl>
      <w:tblPr>
        <w:tblStyle w:val="14"/>
        <w:tblW w:w="870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837"/>
        <w:gridCol w:w="3401"/>
      </w:tblGrid>
      <w:tr w14:paraId="1507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4BEEFC2A">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0B632AA0">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837" w:type="dxa"/>
            <w:tcBorders>
              <w:top w:val="single" w:color="000000" w:sz="6" w:space="0"/>
            </w:tcBorders>
            <w:vAlign w:val="center"/>
          </w:tcPr>
          <w:p w14:paraId="0DF2ACEC">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课程目标</w:t>
            </w:r>
          </w:p>
        </w:tc>
        <w:tc>
          <w:tcPr>
            <w:tcW w:w="3401" w:type="dxa"/>
            <w:tcBorders>
              <w:top w:val="single" w:color="000000" w:sz="6" w:space="0"/>
              <w:right w:val="single" w:color="000000" w:sz="6" w:space="0"/>
            </w:tcBorders>
            <w:vAlign w:val="center"/>
          </w:tcPr>
          <w:p w14:paraId="50429659">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主要内容和教学要求</w:t>
            </w:r>
          </w:p>
        </w:tc>
      </w:tr>
      <w:tr w14:paraId="508E4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42256C2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4C72A06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制药工艺</w:t>
            </w:r>
          </w:p>
          <w:p w14:paraId="01EC89B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70C0"/>
                <w:kern w:val="0"/>
                <w:sz w:val="24"/>
                <w:szCs w:val="24"/>
                <w:lang w:val="en-US" w:eastAsia="zh-CN" w:bidi="ar"/>
              </w:rPr>
            </w:pPr>
            <w:r>
              <w:rPr>
                <w:rFonts w:hint="eastAsia" w:ascii="仿宋" w:hAnsi="仿宋" w:eastAsia="仿宋" w:cs="仿宋"/>
                <w:color w:val="000000"/>
                <w:kern w:val="0"/>
                <w:sz w:val="24"/>
                <w:szCs w:val="24"/>
                <w:lang w:bidi="ar"/>
              </w:rPr>
              <w:t>基础</w:t>
            </w:r>
          </w:p>
        </w:tc>
        <w:tc>
          <w:tcPr>
            <w:tcW w:w="2837" w:type="dxa"/>
            <w:shd w:val="clear" w:color="auto" w:fill="auto"/>
            <w:vAlign w:val="center"/>
          </w:tcPr>
          <w:p w14:paraId="4FDEFDA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①</w:t>
            </w:r>
            <w:r>
              <w:rPr>
                <w:rFonts w:hint="eastAsia" w:ascii="仿宋" w:hAnsi="仿宋" w:eastAsia="仿宋" w:cs="仿宋"/>
                <w:color w:val="000000"/>
                <w:kern w:val="0"/>
                <w:sz w:val="24"/>
                <w:szCs w:val="24"/>
                <w:lang w:bidi="ar"/>
              </w:rPr>
              <w:t>树立严谨的工作态度和质量意识，严格遵守 GMP 规范和安全生产操作规程。</w:t>
            </w:r>
          </w:p>
          <w:p w14:paraId="0640D72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②</w:t>
            </w:r>
            <w:r>
              <w:rPr>
                <w:rFonts w:hint="default" w:ascii="仿宋" w:hAnsi="仿宋" w:eastAsia="仿宋" w:cs="仿宋"/>
                <w:color w:val="000000"/>
                <w:kern w:val="0"/>
                <w:sz w:val="24"/>
                <w:szCs w:val="24"/>
                <w:lang w:bidi="ar"/>
              </w:rPr>
              <w:t>培养创新思维和环保意识，关注制药工艺的新技术、新方法，践行绿色生产理念。</w:t>
            </w:r>
          </w:p>
          <w:p w14:paraId="63C101E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bidi="ar"/>
              </w:rPr>
            </w:pPr>
            <w:r>
              <w:rPr>
                <w:rFonts w:hint="eastAsia" w:ascii="仿宋_GB2312" w:hAnsi="仿宋_GB2312" w:eastAsia="仿宋_GB2312" w:cs="仿宋_GB2312"/>
                <w:color w:val="000000"/>
                <w:kern w:val="0"/>
                <w:sz w:val="24"/>
                <w:szCs w:val="24"/>
                <w:lang w:bidi="ar"/>
              </w:rPr>
              <w:t>③</w:t>
            </w:r>
            <w:r>
              <w:rPr>
                <w:rFonts w:hint="eastAsia" w:ascii="仿宋" w:hAnsi="仿宋" w:eastAsia="仿宋" w:cs="仿宋"/>
                <w:color w:val="000000"/>
                <w:kern w:val="0"/>
                <w:sz w:val="24"/>
                <w:szCs w:val="24"/>
                <w:lang w:bidi="ar"/>
              </w:rPr>
              <w:t>能根据药物生产工艺流程图，分析各工序的作用及工艺参数，具备初步的工艺优化能力。</w:t>
            </w:r>
          </w:p>
          <w:p w14:paraId="3A50F4B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Theme="minorHAnsi" w:hAnsiTheme="minorHAnsi" w:eastAsiaTheme="minorEastAsia" w:cstheme="minorBidi"/>
                <w:color w:val="auto"/>
                <w:kern w:val="2"/>
                <w:sz w:val="21"/>
                <w:szCs w:val="24"/>
                <w:lang w:val="en-US" w:eastAsia="zh-CN" w:bidi="ar-SA"/>
              </w:rPr>
            </w:pPr>
            <w:r>
              <w:rPr>
                <w:rFonts w:hint="eastAsia" w:ascii="仿宋_GB2312" w:hAnsi="仿宋_GB2312" w:eastAsia="仿宋_GB2312" w:cs="仿宋_GB2312"/>
                <w:color w:val="000000"/>
                <w:kern w:val="0"/>
                <w:sz w:val="24"/>
                <w:szCs w:val="24"/>
                <w:lang w:bidi="ar"/>
              </w:rPr>
              <w:t>④</w:t>
            </w:r>
            <w:r>
              <w:rPr>
                <w:rFonts w:hint="default" w:ascii="仿宋" w:hAnsi="仿宋" w:eastAsia="仿宋" w:cs="仿宋"/>
                <w:color w:val="000000"/>
                <w:kern w:val="0"/>
                <w:sz w:val="24"/>
                <w:szCs w:val="24"/>
                <w:lang w:bidi="ar"/>
              </w:rPr>
              <w:t>能识别制药生产中的安全隐患和环保问题，提出基本的解决方案，具备一定的应急处理能力。</w:t>
            </w:r>
          </w:p>
        </w:tc>
        <w:tc>
          <w:tcPr>
            <w:tcW w:w="3401" w:type="dxa"/>
            <w:tcBorders>
              <w:right w:val="single" w:color="000000" w:sz="6" w:space="0"/>
            </w:tcBorders>
            <w:shd w:val="clear" w:color="auto" w:fill="auto"/>
            <w:vAlign w:val="center"/>
          </w:tcPr>
          <w:p w14:paraId="56CE505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①</w:t>
            </w:r>
            <w:r>
              <w:rPr>
                <w:rFonts w:hint="eastAsia" w:ascii="仿宋" w:hAnsi="仿宋" w:eastAsia="仿宋" w:cs="仿宋"/>
                <w:color w:val="000000"/>
                <w:kern w:val="0"/>
                <w:sz w:val="24"/>
                <w:szCs w:val="24"/>
                <w:lang w:eastAsia="zh-CN" w:bidi="ar"/>
              </w:rPr>
              <w:t>理解制药工艺的基本概念、原理及药物生产的基本流程，掌握典型药物的生产工艺路线。</w:t>
            </w:r>
          </w:p>
          <w:p w14:paraId="675C40C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②</w:t>
            </w:r>
            <w:r>
              <w:rPr>
                <w:rFonts w:hint="eastAsia" w:ascii="仿宋" w:hAnsi="仿宋" w:eastAsia="仿宋" w:cs="仿宋"/>
                <w:color w:val="000000"/>
                <w:kern w:val="0"/>
                <w:sz w:val="24"/>
                <w:szCs w:val="24"/>
                <w:lang w:eastAsia="zh-CN" w:bidi="ar"/>
              </w:rPr>
              <w:t>熟悉常用制药设备的结构、工作原理及适用范围，了解制药过程中的质量控制标准和方法。</w:t>
            </w:r>
          </w:p>
          <w:p w14:paraId="46A77E0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eastAsia="zh-CN" w:bidi="ar"/>
              </w:rPr>
            </w:pPr>
            <w:r>
              <w:rPr>
                <w:rFonts w:hint="eastAsia" w:ascii="仿宋_GB2312" w:hAnsi="仿宋_GB2312" w:eastAsia="仿宋_GB2312" w:cs="仿宋_GB2312"/>
                <w:color w:val="000000"/>
                <w:kern w:val="0"/>
                <w:sz w:val="24"/>
                <w:szCs w:val="24"/>
                <w:lang w:eastAsia="zh-CN" w:bidi="ar"/>
              </w:rPr>
              <w:t>③</w:t>
            </w:r>
            <w:r>
              <w:rPr>
                <w:rFonts w:hint="eastAsia" w:ascii="仿宋" w:hAnsi="仿宋" w:eastAsia="仿宋" w:cs="仿宋"/>
                <w:color w:val="000000"/>
                <w:kern w:val="0"/>
                <w:sz w:val="24"/>
                <w:szCs w:val="24"/>
                <w:lang w:eastAsia="zh-CN" w:bidi="ar"/>
              </w:rPr>
              <w:t>掌握GMP的基本要求，了解制药生产中的安全生产规范和环境保护知识。</w:t>
            </w:r>
          </w:p>
          <w:p w14:paraId="68404F6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④熟练使用常用制药设备（如粉碎机、制粒机、灭菌锅等），完成药物生产的基本单元操作。</w:t>
            </w:r>
          </w:p>
        </w:tc>
      </w:tr>
      <w:tr w14:paraId="411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F64915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5353EB0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医药商品购销</w:t>
            </w:r>
          </w:p>
        </w:tc>
        <w:tc>
          <w:tcPr>
            <w:tcW w:w="2837" w:type="dxa"/>
            <w:shd w:val="clear" w:color="auto" w:fill="auto"/>
            <w:vAlign w:val="center"/>
          </w:tcPr>
          <w:p w14:paraId="4A12E8B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①</w:t>
            </w:r>
            <w:r>
              <w:rPr>
                <w:rFonts w:hint="eastAsia" w:ascii="仿宋" w:hAnsi="仿宋" w:eastAsia="仿宋" w:cs="仿宋"/>
                <w:color w:val="auto"/>
                <w:kern w:val="0"/>
                <w:sz w:val="24"/>
                <w:szCs w:val="24"/>
                <w:lang w:bidi="ar"/>
              </w:rPr>
              <w:t>树立诚实守信、依法经营的理念，自觉遵守医药行业的法律法规和职业道德规范，坚决抵制违法违规行为</w:t>
            </w:r>
            <w:r>
              <w:rPr>
                <w:rFonts w:hint="eastAsia" w:ascii="仿宋" w:hAnsi="仿宋" w:eastAsia="仿宋" w:cs="仿宋"/>
                <w:color w:val="auto"/>
                <w:kern w:val="0"/>
                <w:sz w:val="24"/>
                <w:szCs w:val="24"/>
                <w:lang w:eastAsia="zh-CN" w:bidi="ar"/>
              </w:rPr>
              <w:t>。</w:t>
            </w:r>
          </w:p>
          <w:p w14:paraId="531E2DF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②</w:t>
            </w:r>
            <w:r>
              <w:rPr>
                <w:rFonts w:hint="eastAsia" w:ascii="仿宋" w:hAnsi="仿宋" w:eastAsia="仿宋" w:cs="仿宋"/>
                <w:color w:val="auto"/>
                <w:kern w:val="0"/>
                <w:sz w:val="24"/>
                <w:szCs w:val="24"/>
                <w:lang w:bidi="ar"/>
              </w:rPr>
              <w:t>培养学生严谨认真、高度负责的工作态度</w:t>
            </w:r>
            <w:r>
              <w:rPr>
                <w:rFonts w:hint="eastAsia" w:ascii="仿宋" w:hAnsi="仿宋" w:eastAsia="仿宋" w:cs="仿宋"/>
                <w:color w:val="auto"/>
                <w:kern w:val="0"/>
                <w:sz w:val="24"/>
                <w:szCs w:val="24"/>
                <w:lang w:eastAsia="zh-CN" w:bidi="ar"/>
              </w:rPr>
              <w:t>。</w:t>
            </w:r>
          </w:p>
          <w:p w14:paraId="1473F03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③</w:t>
            </w:r>
            <w:r>
              <w:rPr>
                <w:rFonts w:hint="eastAsia" w:ascii="仿宋" w:hAnsi="仿宋" w:eastAsia="仿宋" w:cs="仿宋"/>
                <w:color w:val="auto"/>
                <w:kern w:val="0"/>
                <w:sz w:val="24"/>
                <w:szCs w:val="24"/>
                <w:lang w:bidi="ar"/>
              </w:rPr>
              <w:t>强化学生的团队合作意识，使其在工作中能够与同事、供应商、客户等进行有效的沟通协作，共同完成工作任务</w:t>
            </w:r>
            <w:r>
              <w:rPr>
                <w:rFonts w:hint="eastAsia" w:ascii="仿宋" w:hAnsi="仿宋" w:eastAsia="仿宋" w:cs="仿宋"/>
                <w:color w:val="auto"/>
                <w:kern w:val="0"/>
                <w:sz w:val="24"/>
                <w:szCs w:val="24"/>
                <w:lang w:eastAsia="zh-CN" w:bidi="ar"/>
              </w:rPr>
              <w:t>。</w:t>
            </w:r>
          </w:p>
          <w:p w14:paraId="290BCAB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④</w:t>
            </w:r>
            <w:r>
              <w:rPr>
                <w:rFonts w:hint="eastAsia" w:ascii="仿宋" w:hAnsi="仿宋" w:eastAsia="仿宋" w:cs="仿宋"/>
                <w:color w:val="auto"/>
                <w:kern w:val="0"/>
                <w:sz w:val="24"/>
                <w:szCs w:val="24"/>
                <w:lang w:bidi="ar"/>
              </w:rPr>
              <w:t>提高学生的服务意识，以顾客为中心，热情、耐心、专业地为顾客提供服务</w:t>
            </w:r>
            <w:r>
              <w:rPr>
                <w:rFonts w:hint="eastAsia" w:ascii="仿宋" w:hAnsi="仿宋" w:eastAsia="仿宋" w:cs="仿宋"/>
                <w:color w:val="auto"/>
                <w:kern w:val="0"/>
                <w:sz w:val="24"/>
                <w:szCs w:val="24"/>
                <w:lang w:eastAsia="zh-CN" w:bidi="ar"/>
              </w:rPr>
              <w:t>。</w:t>
            </w:r>
          </w:p>
          <w:p w14:paraId="1B5E369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⑤</w:t>
            </w:r>
            <w:r>
              <w:rPr>
                <w:rFonts w:hint="eastAsia" w:ascii="仿宋" w:hAnsi="仿宋" w:eastAsia="仿宋" w:cs="仿宋"/>
                <w:color w:val="auto"/>
                <w:kern w:val="0"/>
                <w:sz w:val="24"/>
                <w:szCs w:val="24"/>
                <w:lang w:bidi="ar"/>
              </w:rPr>
              <w:t>培养学生的创新意识和创业精神，鼓励学生在医药商品购销领域不断探索创新，积极开展创业实践活动。</w:t>
            </w:r>
          </w:p>
        </w:tc>
        <w:tc>
          <w:tcPr>
            <w:tcW w:w="3401" w:type="dxa"/>
            <w:tcBorders>
              <w:right w:val="single" w:color="000000" w:sz="6" w:space="0"/>
            </w:tcBorders>
            <w:shd w:val="clear" w:color="auto" w:fill="auto"/>
            <w:vAlign w:val="center"/>
          </w:tcPr>
          <w:p w14:paraId="0BAA9D0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①</w:t>
            </w:r>
            <w:r>
              <w:rPr>
                <w:rFonts w:hint="eastAsia" w:ascii="仿宋" w:hAnsi="仿宋" w:eastAsia="仿宋" w:cs="仿宋"/>
                <w:color w:val="auto"/>
                <w:kern w:val="0"/>
                <w:sz w:val="24"/>
                <w:szCs w:val="24"/>
                <w:lang w:bidi="ar"/>
              </w:rPr>
              <w:t>熟悉药品、医疗器械、保健食品等医药商品的分类原则与方法，能够依据不同的标准准确区分各类医药商品</w:t>
            </w:r>
            <w:r>
              <w:rPr>
                <w:rFonts w:hint="eastAsia" w:ascii="仿宋" w:hAnsi="仿宋" w:eastAsia="仿宋" w:cs="仿宋"/>
                <w:color w:val="auto"/>
                <w:kern w:val="0"/>
                <w:sz w:val="24"/>
                <w:szCs w:val="24"/>
                <w:lang w:eastAsia="zh-CN" w:bidi="ar"/>
              </w:rPr>
              <w:t>。</w:t>
            </w:r>
          </w:p>
          <w:p w14:paraId="452477D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②</w:t>
            </w:r>
            <w:r>
              <w:rPr>
                <w:rFonts w:hint="eastAsia" w:ascii="仿宋" w:hAnsi="仿宋" w:eastAsia="仿宋" w:cs="仿宋"/>
                <w:color w:val="auto"/>
                <w:kern w:val="0"/>
                <w:sz w:val="24"/>
                <w:szCs w:val="24"/>
                <w:lang w:bidi="ar"/>
              </w:rPr>
              <w:t>了解医药商品的名称、成分、剂型、规格等基本信息，为后续的购销工作奠定基础</w:t>
            </w:r>
            <w:r>
              <w:rPr>
                <w:rFonts w:hint="eastAsia" w:ascii="仿宋" w:hAnsi="仿宋" w:eastAsia="仿宋" w:cs="仿宋"/>
                <w:color w:val="auto"/>
                <w:kern w:val="0"/>
                <w:sz w:val="24"/>
                <w:szCs w:val="24"/>
                <w:lang w:eastAsia="zh-CN" w:bidi="ar"/>
              </w:rPr>
              <w:t>。</w:t>
            </w:r>
          </w:p>
          <w:p w14:paraId="3A90138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③</w:t>
            </w:r>
            <w:r>
              <w:rPr>
                <w:rFonts w:hint="eastAsia" w:ascii="仿宋" w:hAnsi="仿宋" w:eastAsia="仿宋" w:cs="仿宋"/>
                <w:color w:val="auto"/>
                <w:kern w:val="0"/>
                <w:sz w:val="24"/>
                <w:szCs w:val="24"/>
                <w:lang w:bidi="ar"/>
              </w:rPr>
              <w:t>理解医药商品的特性，包括理化性质、药理作用等，明白这些特性对商品储存、运输和销售的影响</w:t>
            </w:r>
            <w:r>
              <w:rPr>
                <w:rFonts w:hint="eastAsia" w:ascii="仿宋" w:hAnsi="仿宋" w:eastAsia="仿宋" w:cs="仿宋"/>
                <w:color w:val="auto"/>
                <w:kern w:val="0"/>
                <w:sz w:val="24"/>
                <w:szCs w:val="24"/>
                <w:lang w:eastAsia="zh-CN" w:bidi="ar"/>
              </w:rPr>
              <w:t>。</w:t>
            </w:r>
          </w:p>
          <w:p w14:paraId="5C383E8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_GB2312" w:hAnsi="仿宋_GB2312" w:eastAsia="仿宋_GB2312" w:cs="仿宋_GB2312"/>
                <w:color w:val="auto"/>
                <w:kern w:val="0"/>
                <w:sz w:val="24"/>
                <w:szCs w:val="24"/>
                <w:lang w:bidi="ar"/>
              </w:rPr>
              <w:t>④</w:t>
            </w:r>
            <w:r>
              <w:rPr>
                <w:rFonts w:hint="eastAsia" w:ascii="仿宋" w:hAnsi="仿宋" w:eastAsia="仿宋" w:cs="仿宋"/>
                <w:color w:val="auto"/>
                <w:kern w:val="0"/>
                <w:sz w:val="24"/>
                <w:szCs w:val="24"/>
                <w:lang w:bidi="ar"/>
              </w:rPr>
              <w:t>熟练掌握《药品管理法》《医疗器械监督管理条例》等相关法律法规，清楚医药商品购销活动中的法律规范和责任义务</w:t>
            </w:r>
            <w:r>
              <w:rPr>
                <w:rFonts w:hint="eastAsia" w:ascii="仿宋" w:hAnsi="仿宋" w:eastAsia="仿宋" w:cs="仿宋"/>
                <w:color w:val="auto"/>
                <w:kern w:val="0"/>
                <w:sz w:val="24"/>
                <w:szCs w:val="24"/>
                <w:lang w:eastAsia="zh-CN" w:bidi="ar"/>
              </w:rPr>
              <w:t>。</w:t>
            </w:r>
          </w:p>
          <w:p w14:paraId="7D6C8C5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⑤</w:t>
            </w:r>
            <w:r>
              <w:rPr>
                <w:rFonts w:hint="eastAsia" w:ascii="仿宋" w:hAnsi="仿宋" w:eastAsia="仿宋" w:cs="仿宋"/>
                <w:color w:val="auto"/>
                <w:kern w:val="0"/>
                <w:sz w:val="24"/>
                <w:szCs w:val="24"/>
                <w:lang w:bidi="ar"/>
              </w:rPr>
              <w:t>熟悉医药商品购销的业务流程，涵盖采购、验收、储存、养护、销售等环节的具体操作要求和注意事项。</w:t>
            </w:r>
          </w:p>
        </w:tc>
      </w:tr>
      <w:tr w14:paraId="78B7E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243F7E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2FAD6CF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生物化学</w:t>
            </w:r>
          </w:p>
        </w:tc>
        <w:tc>
          <w:tcPr>
            <w:tcW w:w="2837" w:type="dxa"/>
            <w:vAlign w:val="center"/>
          </w:tcPr>
          <w:p w14:paraId="3F4E48D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①培养严谨的科学思维和探究精神，理解生物化学在生命科学中的基础地位。</w:t>
            </w:r>
          </w:p>
          <w:p w14:paraId="1806845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②具备基本的实验操作能力，能完成简单的生化检测（如血糖浓度测定）并分析实验结果。</w:t>
            </w:r>
          </w:p>
          <w:p w14:paraId="5B35FAD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③能够结合专业方向（如医学检验、食品加工），将生物化学知识应用于实际问题（如食品营养成分分析、疾病辅助诊断）。</w:t>
            </w:r>
          </w:p>
        </w:tc>
        <w:tc>
          <w:tcPr>
            <w:tcW w:w="3401" w:type="dxa"/>
            <w:tcBorders>
              <w:right w:val="single" w:color="000000" w:sz="6" w:space="0"/>
            </w:tcBorders>
            <w:vAlign w:val="center"/>
          </w:tcPr>
          <w:p w14:paraId="5C0A981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①理解生物体内主要生物大分子（蛋白质、核酸、糖、脂质）的结构、性质及功能，建立 “结构决定功能” 的学科思维。</w:t>
            </w:r>
          </w:p>
          <w:p w14:paraId="13855C5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②掌握糖、脂质、氨基酸等物质的代谢途径，明确各代谢过程的能量转化及生理意义。</w:t>
            </w:r>
          </w:p>
          <w:p w14:paraId="7BEC329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③了解生物化学实验技术的基本原理，熟悉常见检测方法的应用场景（如临床生化检验）。</w:t>
            </w:r>
          </w:p>
        </w:tc>
      </w:tr>
    </w:tbl>
    <w:p w14:paraId="6D538502">
      <w:pPr>
        <w:overflowPunct w:val="0"/>
        <w:adjustRightInd w:val="0"/>
        <w:spacing w:line="600" w:lineRule="exact"/>
        <w:ind w:firstLine="640" w:firstLineChars="200"/>
        <w:outlineLvl w:val="0"/>
        <w:rPr>
          <w:rFonts w:hint="eastAsia" w:ascii="楷体" w:hAnsi="楷体" w:eastAsia="楷体"/>
          <w:sz w:val="32"/>
          <w:szCs w:val="32"/>
          <w:lang w:val="en-US" w:eastAsia="zh-CN"/>
        </w:rPr>
      </w:pPr>
      <w:r>
        <w:rPr>
          <w:rFonts w:hint="eastAsia" w:ascii="楷体" w:hAnsi="楷体" w:eastAsia="楷体"/>
          <w:sz w:val="32"/>
          <w:szCs w:val="32"/>
          <w:lang w:val="en-US" w:eastAsia="zh-CN"/>
        </w:rPr>
        <w:t>7.2高职阶段人文素质教育课程设置及课程目标</w:t>
      </w:r>
    </w:p>
    <w:p w14:paraId="5D3D45A6">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1.公共基础课程</w:t>
      </w:r>
    </w:p>
    <w:tbl>
      <w:tblPr>
        <w:tblStyle w:val="14"/>
        <w:tblW w:w="88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650"/>
        <w:gridCol w:w="3750"/>
      </w:tblGrid>
      <w:tr w14:paraId="3EA24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4FFF7391">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61288C0E">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650" w:type="dxa"/>
            <w:tcBorders>
              <w:top w:val="single" w:color="000000" w:sz="6" w:space="0"/>
            </w:tcBorders>
            <w:shd w:val="clear" w:color="auto" w:fill="auto"/>
            <w:vAlign w:val="center"/>
          </w:tcPr>
          <w:p w14:paraId="273BCC4F">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bidi="ar"/>
              </w:rPr>
              <w:t>课程目标</w:t>
            </w:r>
          </w:p>
        </w:tc>
        <w:tc>
          <w:tcPr>
            <w:tcW w:w="3750" w:type="dxa"/>
            <w:tcBorders>
              <w:top w:val="single" w:color="000000" w:sz="6" w:space="0"/>
            </w:tcBorders>
            <w:vAlign w:val="center"/>
          </w:tcPr>
          <w:p w14:paraId="576440AC">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课程内容及要求</w:t>
            </w:r>
          </w:p>
        </w:tc>
      </w:tr>
      <w:tr w14:paraId="7ADCD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6F40E26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1CCB4DC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毛泽东思想和中国特色社会主义理论体系概论</w:t>
            </w:r>
          </w:p>
        </w:tc>
        <w:tc>
          <w:tcPr>
            <w:tcW w:w="2650" w:type="dxa"/>
            <w:shd w:val="clear" w:color="auto" w:fill="auto"/>
            <w:vAlign w:val="center"/>
          </w:tcPr>
          <w:p w14:paraId="7FC75B2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本课程适合所有专业的人才培养，教育学生准确把握马克思主义中国化理论成果的内涵、科学体系、历史地位、指导意义，深刻认识中国共产党人领导人民进行的革命、建设、改革的历史进程、历史变革、历史成就；理解中国共产党在新时代坚持的基本理论、基本路线、基本方略。提升学生运用马克思主义立场、观点和方法认识问题、分析问题和解决问题的能力；提升学生的思想政治素质。</w:t>
            </w:r>
          </w:p>
        </w:tc>
        <w:tc>
          <w:tcPr>
            <w:tcW w:w="3750" w:type="dxa"/>
            <w:shd w:val="clear" w:color="auto" w:fill="auto"/>
            <w:vAlign w:val="center"/>
          </w:tcPr>
          <w:p w14:paraId="6092F57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以马克思主义中国化为主线，集中阐述马克思主义中国化各阶段理论成果的主要内容、精神实质、历史地位和指导意义，充分反映中国共产党不断推进马克思主义基本原理与中国实际相结合的历史进程和基本经验；以马克思主义中国化最新成果即习近平新时代中国特色社会主义思想为重点，让学生全面把握中国特色社会主义进入新时代，培养学生用发展的眼光看问题、解决问题，坚定马克思主义的立场，坚定在中国共产党的领导下走中国特色社会主义道路的理想信念，做社会主义事业的合格建设者和可靠接班人。</w:t>
            </w:r>
          </w:p>
        </w:tc>
      </w:tr>
      <w:tr w14:paraId="5B179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74E53D7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1628" w:type="dxa"/>
            <w:shd w:val="clear" w:color="auto" w:fill="auto"/>
            <w:vAlign w:val="center"/>
          </w:tcPr>
          <w:p w14:paraId="732965B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思想道德与法治</w:t>
            </w:r>
          </w:p>
        </w:tc>
        <w:tc>
          <w:tcPr>
            <w:tcW w:w="2650" w:type="dxa"/>
            <w:shd w:val="clear" w:color="auto" w:fill="auto"/>
            <w:vAlign w:val="center"/>
          </w:tcPr>
          <w:p w14:paraId="6FA240B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本课程适合所有专业的人才培养,是对大学生进行系统的思想政治教育的核心渠道与阵地。课程以新时代大学生理想信念教育为核心，以爱国主义教育为重点，以思想道德建设为基础，以大学生全面发展为目标，帮助大学生树立正确的人生观、价值观、道德观和法制观，提高大学生思想、政治、道德、法律素质，培育学生对社会最新资讯的敏锐感，将专业与行业发展趋势与对世界大势、中国发展走向的认识相结合，渗透创业教育，为培养德智体美劳全面发展的社会主义合格建设者和可靠接班人奠定坚实思想道德和法律基础。</w:t>
            </w:r>
          </w:p>
        </w:tc>
        <w:tc>
          <w:tcPr>
            <w:tcW w:w="3750" w:type="dxa"/>
            <w:shd w:val="clear" w:color="auto" w:fill="auto"/>
            <w:vAlign w:val="center"/>
          </w:tcPr>
          <w:p w14:paraId="40A039F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综合运用马克思主义的基本观点和方法，以正确的人生观、价值观、道德观、法治观教育为基本内容，结合当代大学生的成长规律，帮助和指导大学生运用马克思主义的立场、观点和方法，解决有关人生、理想、道德、法律等方面的理论问题和实际问题，增强识别和抵制错误思想行为侵袭的能力，确立远大生活目标，培养高尚思想道德情操, 增强社会主义法制观念和法律意识，为实现中华民族伟大复兴的中国梦贡献才智和力量。</w:t>
            </w:r>
          </w:p>
        </w:tc>
      </w:tr>
      <w:tr w14:paraId="43760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68A2F9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6FCB0E8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形式与政策</w:t>
            </w:r>
          </w:p>
          <w:p w14:paraId="26C411D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c>
          <w:tcPr>
            <w:tcW w:w="2650" w:type="dxa"/>
            <w:shd w:val="clear" w:color="auto" w:fill="auto"/>
            <w:vAlign w:val="center"/>
          </w:tcPr>
          <w:p w14:paraId="4A0F953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以马列主义、毛泽东思想和中国特色社会主义理论为指导，紧密结合国际形势，特别是我国改革开放和社会主义现代化建设的形式，进行马克思主义形势观，政策观教育。要求学生能够了解国内外重大时事，全面认识和正确理解、积极拥护党的基本路线重大方针和政策。</w:t>
            </w:r>
          </w:p>
          <w:p w14:paraId="0124AC5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c>
          <w:tcPr>
            <w:tcW w:w="3750" w:type="dxa"/>
            <w:vAlign w:val="center"/>
          </w:tcPr>
          <w:p w14:paraId="5C426A2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据中宣部、教育部每学期下发的《形势与政策教育教学要点》，形势与政策课紧密围绕党和国家重大的理论政策、社会主义现代化建设的形势、国际形势与国际关系等方面与时俱进设定教学内容，由马克思主义教学部形势政策教研室召开教育教学专题会议，共同确立每学期具体授课内容。  要求大学生正确认识党和国家面临的形势和任务。增强实现改革开放和社会主义现代化建设宏伟目标的信心和社会责任感，提高投身于建设社会主义事业的自觉性，增强爱国主义责任感和使命感，明确自身的人生定位和奋斗目标。</w:t>
            </w:r>
          </w:p>
        </w:tc>
      </w:tr>
      <w:tr w14:paraId="6D4DB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0B59B0B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5AAA310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英语</w:t>
            </w:r>
          </w:p>
        </w:tc>
        <w:tc>
          <w:tcPr>
            <w:tcW w:w="2650" w:type="dxa"/>
            <w:shd w:val="clear" w:color="auto" w:fill="auto"/>
            <w:vAlign w:val="center"/>
          </w:tcPr>
          <w:p w14:paraId="4F08021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提高英语写作水平，培养学生创作意识和创新精神。学习相关专业词汇，模拟工作岗位情景，培养学生英语应用能力和职业素养。强化思政教育，学习思政词汇，将课程思政融入英语教学全过程，加强学生的思政意识，培养学生的思辨能力。</w:t>
            </w:r>
          </w:p>
        </w:tc>
        <w:tc>
          <w:tcPr>
            <w:tcW w:w="3750" w:type="dxa"/>
            <w:vAlign w:val="center"/>
          </w:tcPr>
          <w:p w14:paraId="5A9CDF7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日常情景英语表达（如：购物、旅行、就餐等），能进行简单的口语交流，培养学生听说能力；学习常用时态、语态、语气并灵活运用语法知识结合语境阅读法准确快速阅读理解一般题材的文章，培养学生跨文化交际能力；学习10种常见英语应用文写作方法（如：入学登记表、电子邮件、通知、信函、简历等）。</w:t>
            </w:r>
          </w:p>
        </w:tc>
      </w:tr>
      <w:tr w14:paraId="60912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025A1B0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628" w:type="dxa"/>
            <w:vAlign w:val="center"/>
          </w:tcPr>
          <w:p w14:paraId="393DD3B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高等数学</w:t>
            </w:r>
          </w:p>
        </w:tc>
        <w:tc>
          <w:tcPr>
            <w:tcW w:w="2650" w:type="dxa"/>
            <w:shd w:val="clear" w:color="auto" w:fill="auto"/>
            <w:vAlign w:val="center"/>
          </w:tcPr>
          <w:p w14:paraId="68BCD92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学习函数、极限与连续的概念、性质及简单应用，学习导数与微分的概念、性质和应用，学习不定积分的概念及其计算。</w:t>
            </w:r>
          </w:p>
          <w:p w14:paraId="5D19011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c>
          <w:tcPr>
            <w:tcW w:w="3750" w:type="dxa"/>
            <w:vAlign w:val="center"/>
          </w:tcPr>
          <w:p w14:paraId="3D8F07C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理解函数、极限、连续的概念，能够建立函数关系，掌握计算极限的基本方法；理解导数和微分的概念，掌握导数和微分的基本运算，能利用导数研究函数的一些基本性态，掌握求极值、最值的方法；理解不定积分的概念，初步掌握不定积分的基本运算。培养学生的逻辑思维能力，提高整体的数学素养，培养学生严谨、认真的态度，培养学生分析问题、解决问题的能力。同时培养学生勇于发现、严谨规范的科学精神，热爱科学、精益求精的科学态度。强化学生的责任担当意识和团结协作精神。</w:t>
            </w:r>
          </w:p>
        </w:tc>
      </w:tr>
      <w:tr w14:paraId="1F12E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61898F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c>
          <w:tcPr>
            <w:tcW w:w="1628" w:type="dxa"/>
            <w:vAlign w:val="center"/>
          </w:tcPr>
          <w:p w14:paraId="085ABC9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体育</w:t>
            </w:r>
          </w:p>
        </w:tc>
        <w:tc>
          <w:tcPr>
            <w:tcW w:w="2650" w:type="dxa"/>
            <w:shd w:val="clear" w:color="auto" w:fill="auto"/>
            <w:vAlign w:val="center"/>
          </w:tcPr>
          <w:p w14:paraId="55F9A58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本课程适合所有专业的人才培养，教育学生树立正确科学的运动理念，培养良好的身体素质，形成积极正确的终身锻炼意识和行为习惯。</w:t>
            </w:r>
          </w:p>
        </w:tc>
        <w:tc>
          <w:tcPr>
            <w:tcW w:w="3750" w:type="dxa"/>
            <w:vAlign w:val="center"/>
          </w:tcPr>
          <w:p w14:paraId="7EAD4B5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主要开展体育运动项目的技术与理论、科学的锻炼方法，乐观积极的生活观教育，引导大学生提高身体素质和意志品质，成长为体格强健、品质坚毅的新时代中国青年。教育学生掌握基本的运动技能与相应的理论知识、形成积极向上的体育锻炼意识和行为习惯，做积极向上的新时代中国生力军。</w:t>
            </w:r>
          </w:p>
        </w:tc>
      </w:tr>
      <w:tr w14:paraId="52B91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2C8D4D3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1628" w:type="dxa"/>
            <w:vAlign w:val="center"/>
          </w:tcPr>
          <w:p w14:paraId="397686B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职业规划与就业指导</w:t>
            </w:r>
          </w:p>
        </w:tc>
        <w:tc>
          <w:tcPr>
            <w:tcW w:w="2650" w:type="dxa"/>
            <w:shd w:val="clear" w:color="auto" w:fill="auto"/>
            <w:vAlign w:val="center"/>
          </w:tcPr>
          <w:p w14:paraId="281DDC6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培养学生正确的人生观和发展观，能在客观认识自我和社会需求的情况下，初步规划自我职业生涯发展，主动参与实践，培养良好的职业道德、职业素质及就业技能。</w:t>
            </w:r>
          </w:p>
        </w:tc>
        <w:tc>
          <w:tcPr>
            <w:tcW w:w="3750" w:type="dxa"/>
            <w:vAlign w:val="center"/>
          </w:tcPr>
          <w:p w14:paraId="361CF97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学习职业内涵及发展，职业素养，职业生涯规划理论与原理，职业生涯规划方法与策略，就业法规与政策，就业技巧与策略等。</w:t>
            </w:r>
          </w:p>
          <w:p w14:paraId="7DBD58A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r>
      <w:tr w14:paraId="52F11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30C663F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1628" w:type="dxa"/>
            <w:vAlign w:val="center"/>
          </w:tcPr>
          <w:p w14:paraId="7EDCF84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入学教育及军训</w:t>
            </w:r>
          </w:p>
        </w:tc>
        <w:tc>
          <w:tcPr>
            <w:tcW w:w="2650" w:type="dxa"/>
            <w:shd w:val="clear" w:color="auto" w:fill="auto"/>
            <w:vAlign w:val="center"/>
          </w:tcPr>
          <w:p w14:paraId="787175E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c>
          <w:tcPr>
            <w:tcW w:w="3750" w:type="dxa"/>
            <w:vAlign w:val="center"/>
          </w:tcPr>
          <w:p w14:paraId="50E8C86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熟悉校园环境，学习校规校纪，参观校内、外实训基地，进行专业教育，初步</w:t>
            </w:r>
            <w:r>
              <w:rPr>
                <w:rFonts w:hint="eastAsia" w:ascii="仿宋" w:hAnsi="仿宋" w:eastAsia="仿宋" w:cs="仿宋"/>
                <w:color w:val="auto"/>
                <w:kern w:val="0"/>
                <w:sz w:val="24"/>
                <w:szCs w:val="24"/>
                <w:lang w:val="zh-CN" w:eastAsia="zh-CN" w:bidi="ar"/>
              </w:rPr>
              <w:t>培养学生职业素质与职业认知能力</w:t>
            </w:r>
            <w:r>
              <w:rPr>
                <w:rFonts w:hint="eastAsia" w:ascii="仿宋" w:hAnsi="仿宋" w:eastAsia="仿宋" w:cs="仿宋"/>
                <w:color w:val="auto"/>
                <w:kern w:val="0"/>
                <w:sz w:val="24"/>
                <w:szCs w:val="24"/>
                <w:lang w:eastAsia="zh-CN" w:bidi="ar"/>
              </w:rPr>
              <w:t>。加强学生爱国主义教育，国防观念教育和国防知识教育。培养学生的组织纪律性，集体观念和团结协作精神。</w:t>
            </w:r>
          </w:p>
        </w:tc>
      </w:tr>
      <w:tr w14:paraId="4365D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3DF3CF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w:t>
            </w:r>
          </w:p>
        </w:tc>
        <w:tc>
          <w:tcPr>
            <w:tcW w:w="1628" w:type="dxa"/>
            <w:vAlign w:val="center"/>
          </w:tcPr>
          <w:p w14:paraId="0E13B72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军事理论教育</w:t>
            </w:r>
          </w:p>
        </w:tc>
        <w:tc>
          <w:tcPr>
            <w:tcW w:w="2650" w:type="dxa"/>
            <w:shd w:val="clear" w:color="auto" w:fill="auto"/>
            <w:vAlign w:val="center"/>
          </w:tcPr>
          <w:p w14:paraId="68CBF61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本课程适合所有专业的人才培养，让学生了解掌握军事基础知识和基本军事技能，增强国防观念、国家安全意识和忧患危机意识，弘扬爱国主义精神、传承红色基因、提高学生综合国防素质。</w:t>
            </w:r>
          </w:p>
          <w:p w14:paraId="38D47E0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c>
          <w:tcPr>
            <w:tcW w:w="3750" w:type="dxa"/>
            <w:vAlign w:val="center"/>
          </w:tcPr>
          <w:p w14:paraId="36ECA3F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以国防教育为主线，以军事理论和军事技能教学为重点，广泛吸纳世界军事技术和中外军事理论研究成果，重视课堂教学和军训实践，引导学生持续关注国防、爱上国防，激发学生的爱国热情，自觉为祖国的国防建设贡献力量。</w:t>
            </w:r>
          </w:p>
        </w:tc>
      </w:tr>
    </w:tbl>
    <w:p w14:paraId="4216AC58">
      <w:pPr>
        <w:numPr>
          <w:ilvl w:val="0"/>
          <w:numId w:val="0"/>
        </w:numPr>
        <w:spacing w:line="560" w:lineRule="exact"/>
        <w:ind w:firstLine="640" w:firstLineChars="200"/>
        <w:rPr>
          <w:rFonts w:hint="eastAsia" w:ascii="仿宋" w:hAnsi="仿宋" w:eastAsia="仿宋"/>
          <w:color w:val="auto"/>
          <w:sz w:val="32"/>
          <w:szCs w:val="32"/>
          <w:lang w:val="en-US" w:eastAsia="zh-CN"/>
        </w:rPr>
      </w:pPr>
      <w:bookmarkStart w:id="1" w:name="_Toc6824"/>
      <w:bookmarkStart w:id="2" w:name="_Toc12943"/>
      <w:r>
        <w:rPr>
          <w:rFonts w:hint="eastAsia" w:ascii="仿宋" w:hAnsi="仿宋" w:eastAsia="仿宋"/>
          <w:color w:val="auto"/>
          <w:sz w:val="32"/>
          <w:szCs w:val="32"/>
          <w:lang w:val="en-US" w:eastAsia="zh-CN"/>
        </w:rPr>
        <w:t>2.专业（技能）课程</w:t>
      </w:r>
      <w:bookmarkEnd w:id="1"/>
      <w:bookmarkEnd w:id="2"/>
    </w:p>
    <w:p w14:paraId="7BB9DB57">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（1）专业课程</w:t>
      </w:r>
    </w:p>
    <w:tbl>
      <w:tblPr>
        <w:tblStyle w:val="14"/>
        <w:tblW w:w="86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920"/>
        <w:gridCol w:w="3230"/>
      </w:tblGrid>
      <w:tr w14:paraId="7710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54A69B8A">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149539F8">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920" w:type="dxa"/>
            <w:tcBorders>
              <w:top w:val="single" w:color="000000" w:sz="6" w:space="0"/>
            </w:tcBorders>
            <w:vAlign w:val="center"/>
          </w:tcPr>
          <w:p w14:paraId="458EE022">
            <w:pPr>
              <w:widowControl/>
              <w:jc w:val="center"/>
              <w:textAlignment w:val="center"/>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bidi="ar"/>
              </w:rPr>
              <w:t>课程目标</w:t>
            </w:r>
          </w:p>
        </w:tc>
        <w:tc>
          <w:tcPr>
            <w:tcW w:w="3230" w:type="dxa"/>
            <w:tcBorders>
              <w:top w:val="single" w:color="000000" w:sz="6" w:space="0"/>
            </w:tcBorders>
            <w:vAlign w:val="center"/>
          </w:tcPr>
          <w:p w14:paraId="2C342382">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课程内容及要求</w:t>
            </w:r>
          </w:p>
        </w:tc>
      </w:tr>
      <w:tr w14:paraId="5E3AB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54FE5DD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328731D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分析化学</w:t>
            </w:r>
          </w:p>
        </w:tc>
        <w:tc>
          <w:tcPr>
            <w:tcW w:w="2920" w:type="dxa"/>
            <w:shd w:val="clear" w:color="auto" w:fill="auto"/>
            <w:vAlign w:val="center"/>
          </w:tcPr>
          <w:p w14:paraId="76A6DE1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 xml:space="preserve">本课程适合药物制剂技术专业的人才培养，要求学生掌握化学分析的基本理论，滴定分析的原理和方法，具备分析数据的处理与计算能力，同时，为后续课程的学习和以后的工作打好必要的化学基础。 </w:t>
            </w:r>
          </w:p>
          <w:p w14:paraId="4790009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c>
          <w:tcPr>
            <w:tcW w:w="3230" w:type="dxa"/>
            <w:shd w:val="clear" w:color="auto" w:fill="auto"/>
            <w:vAlign w:val="center"/>
          </w:tcPr>
          <w:p w14:paraId="4AD5799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学习分析化学实验的基本知识和基本操作技术，掌握滴定分析仪器的使用方法和操作技能，培养学生观察和记录实验现象、处理实验结果及书写实验报告的能力，为制剂专业技能的培养打下良好基础。</w:t>
            </w:r>
          </w:p>
          <w:p w14:paraId="1060EE1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r>
      <w:tr w14:paraId="6639F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7C0D6E8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2</w:t>
            </w:r>
          </w:p>
        </w:tc>
        <w:tc>
          <w:tcPr>
            <w:tcW w:w="1628" w:type="dxa"/>
            <w:shd w:val="clear" w:color="auto" w:fill="auto"/>
            <w:vAlign w:val="center"/>
          </w:tcPr>
          <w:p w14:paraId="561DC56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有机化学</w:t>
            </w:r>
          </w:p>
        </w:tc>
        <w:tc>
          <w:tcPr>
            <w:tcW w:w="2920" w:type="dxa"/>
            <w:shd w:val="clear" w:color="auto" w:fill="auto"/>
            <w:vAlign w:val="center"/>
          </w:tcPr>
          <w:p w14:paraId="526D304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本课程适合</w:t>
            </w:r>
            <w:r>
              <w:rPr>
                <w:rFonts w:hint="eastAsia" w:ascii="仿宋" w:hAnsi="仿宋" w:eastAsia="仿宋" w:cs="仿宋"/>
                <w:color w:val="auto"/>
                <w:kern w:val="0"/>
                <w:sz w:val="24"/>
                <w:szCs w:val="24"/>
                <w:lang w:val="en-US" w:eastAsia="zh-CN" w:bidi="ar"/>
              </w:rPr>
              <w:t>药物制剂</w:t>
            </w:r>
            <w:r>
              <w:rPr>
                <w:rFonts w:hint="eastAsia" w:ascii="仿宋" w:hAnsi="仿宋" w:eastAsia="仿宋" w:cs="仿宋"/>
                <w:color w:val="auto"/>
                <w:kern w:val="0"/>
                <w:sz w:val="24"/>
                <w:szCs w:val="24"/>
                <w:lang w:eastAsia="zh-CN" w:bidi="ar"/>
              </w:rPr>
              <w:t>专业的人才培养。通过对本课程的学习，使学生获得从事制药及化工技术职业岗位必需的有机化学基本理论、基础知识，注重培养学生的基本技能，应用所学的知识分析和解决化工生产中的实际问题，为学习专业课和毕业后从事化学制药生产方面的工作打下坚实的基础。。</w:t>
            </w:r>
          </w:p>
          <w:p w14:paraId="639AE5A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c>
          <w:tcPr>
            <w:tcW w:w="3230" w:type="dxa"/>
            <w:shd w:val="clear" w:color="auto" w:fill="auto"/>
            <w:vAlign w:val="center"/>
          </w:tcPr>
          <w:p w14:paraId="76CB39F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烃、卤代烃、含氧衍生物、含氮衍生物及杂环化合物的官能团特征；熟悉有机化合物在结构和性质上的特点，熟悉有机反应基本类型，认识烃类，掌握典型的含氧、含氮化合物以及五六单杂环化合物的理化性质及应用，为学习药物化学及药物分析与检测技术等专业课程打下基础。学习有机化学实验的基础知识、常用仪器的使用方法及基本操作，掌握蒸馏、分馏、抽滤的操作技术，学习实验室的规范管理及安全防护措施。培养学生观察和记录实验现象、处理实验结果及书写实验报告的能力，为专业技能的培养打下良好基础。</w:t>
            </w:r>
          </w:p>
        </w:tc>
      </w:tr>
      <w:tr w14:paraId="5FF25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ACB52C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273BF69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制药单元操作技术</w:t>
            </w:r>
          </w:p>
        </w:tc>
        <w:tc>
          <w:tcPr>
            <w:tcW w:w="2920" w:type="dxa"/>
            <w:vAlign w:val="center"/>
          </w:tcPr>
          <w:p w14:paraId="364643E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适合药物制剂技术专业的人才培养，要求学生掌握流体流动与输送、传热、蒸馏等单元操作过程的基本知识与原理，熟悉典型“三传”设备的性能与操作要点，具备能够按照操作规程正确操作相关设备的能力，同时，为后续课程的学习和以后的工作打好必要的制药单元操作技术。</w:t>
            </w:r>
          </w:p>
        </w:tc>
        <w:tc>
          <w:tcPr>
            <w:tcW w:w="3230" w:type="dxa"/>
            <w:vAlign w:val="center"/>
          </w:tcPr>
          <w:p w14:paraId="6807F36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相应单元设备的结构、功能及日常维护要点；学习单元过程开停车检查，生产工艺控制要点或措施，生产中常见问题处理及安全措施。使学生具备初步判断、分析和解决实际操作问题的能力，培养学生的工程意识和动手操作能力，为后续专业课程的学习和技能的培养打下良好的基础。</w:t>
            </w:r>
          </w:p>
        </w:tc>
      </w:tr>
      <w:tr w14:paraId="6B7E0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33B242E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2F1579B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药事管理与GMP</w:t>
            </w:r>
          </w:p>
        </w:tc>
        <w:tc>
          <w:tcPr>
            <w:tcW w:w="2920" w:type="dxa"/>
            <w:vAlign w:val="center"/>
          </w:tcPr>
          <w:p w14:paraId="3CA4EB2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通过学习本门课程，使学生能够掌握药事管理的基本概念、药事法规、药品市场营销与药品流通管理等知识，明确药品安全与管理的关系规律，熟悉药品流通和使用等环节的相关程序及管理制度；熟悉药品生产质量管理规范的基本知识，保障在从事药品生产过程中实施全面科学管理和严密监控。</w:t>
            </w:r>
          </w:p>
          <w:p w14:paraId="57F17F0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c>
          <w:tcPr>
            <w:tcW w:w="3230" w:type="dxa"/>
            <w:vAlign w:val="center"/>
          </w:tcPr>
          <w:p w14:paraId="2DA858A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药事管理的基本概念、药事法规、药品市场营销与药品流通管理等知识，明确药品安全与管理的关系规律，学习药品流通和使用等环节的相关程序及管理制度；学习药品生产质量管理所涉及机构人员、厂房设施、设备、物料、卫生、验证、文件、生产管理、质量管理、包装和标签、产品销售与回收、投诉与不良反应报告、自我检查等基本知识；培养学生法律意识和全面执行药品生产质量管理规范（GMP）的能力。</w:t>
            </w:r>
          </w:p>
        </w:tc>
      </w:tr>
      <w:tr w14:paraId="6F93A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7CD89F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628" w:type="dxa"/>
            <w:vAlign w:val="center"/>
          </w:tcPr>
          <w:p w14:paraId="372B0C7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医药健康与安全</w:t>
            </w:r>
          </w:p>
        </w:tc>
        <w:tc>
          <w:tcPr>
            <w:tcW w:w="2920" w:type="dxa"/>
            <w:vAlign w:val="center"/>
          </w:tcPr>
          <w:p w14:paraId="2759958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适合药物制剂技术专业的人才培养，掌握必要的安全基础知识，熟悉各种安全注意事项；具备在生活及工作中应用所学到的理论知识及技能，分析和解决已经存在的或尚未出现的不安全因素；能够及时采取相应的措施，不使安全事故发生，或不发生自身的安全事故；学会运用法律武器为自身的安全创造一个较好的职业发展环境；在为企业的安全生产的同时，保障自身与职业生涯发展。</w:t>
            </w:r>
          </w:p>
        </w:tc>
        <w:tc>
          <w:tcPr>
            <w:tcW w:w="3230" w:type="dxa"/>
            <w:vAlign w:val="center"/>
          </w:tcPr>
          <w:p w14:paraId="3BA3F53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医药生产中的安全生产特征，化学危险物质、防火防爆及消防安全、工业防毒、压力容器、电气安全、制药单元操作危险因素等有关知识；学习企业生产中常用的劳动保护知识，防止人身伤亡与职业危害的发生；学习常见事故的发生条件及控制方法，安全事故发生时的应急处置方法与求生手段。培养学生协作、尽责等职业素质及危险岗位的自我防护和应急事故处理能力。</w:t>
            </w:r>
          </w:p>
        </w:tc>
      </w:tr>
      <w:tr w14:paraId="0F96C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1B2F354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c>
          <w:tcPr>
            <w:tcW w:w="1628" w:type="dxa"/>
            <w:vAlign w:val="center"/>
          </w:tcPr>
          <w:p w14:paraId="6EC71D5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生理药理</w:t>
            </w:r>
          </w:p>
        </w:tc>
        <w:tc>
          <w:tcPr>
            <w:tcW w:w="2920" w:type="dxa"/>
            <w:vAlign w:val="center"/>
          </w:tcPr>
          <w:p w14:paraId="06B072A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使学生会查阅资料，获取信息，进行处方分析；能够正确理解并准确使用药理学的基本理论、基本概念；能够进行药理学实验基本技能的操作，药物分类摆放；能够分析、解释涉及中枢神经系统疾病常用药物药理作用，临床应用及药物处方的合理性，选用原则，提供用药咨询服务；能够进行中枢神经系统药的实验操作技术；</w:t>
            </w:r>
            <w:bookmarkStart w:id="3" w:name="_Toc209778653"/>
            <w:bookmarkStart w:id="4" w:name="_Toc209777763"/>
            <w:bookmarkStart w:id="5" w:name="_Toc209776863"/>
            <w:bookmarkStart w:id="6" w:name="_Toc209778225"/>
            <w:bookmarkStart w:id="7" w:name="_Toc209778362"/>
            <w:r>
              <w:rPr>
                <w:rFonts w:hint="eastAsia" w:ascii="仿宋" w:hAnsi="仿宋" w:eastAsia="仿宋" w:cs="仿宋"/>
                <w:color w:val="auto"/>
                <w:kern w:val="0"/>
                <w:sz w:val="24"/>
                <w:szCs w:val="24"/>
                <w:lang w:eastAsia="zh-CN" w:bidi="ar"/>
              </w:rPr>
              <w:t>能够掌握循环系统疾病常用药物药理作用，临床应用及药物处方的合理性，选用原则，提供用药咨询服务；分析涉及循环系统药物处方的合理性，具有初步指导合理应用药物的能力</w:t>
            </w:r>
            <w:bookmarkEnd w:id="3"/>
            <w:bookmarkEnd w:id="4"/>
            <w:bookmarkEnd w:id="5"/>
            <w:bookmarkEnd w:id="6"/>
            <w:bookmarkEnd w:id="7"/>
            <w:r>
              <w:rPr>
                <w:rFonts w:hint="eastAsia" w:ascii="仿宋" w:hAnsi="仿宋" w:eastAsia="仿宋" w:cs="仿宋"/>
                <w:color w:val="auto"/>
                <w:kern w:val="0"/>
                <w:sz w:val="24"/>
                <w:szCs w:val="24"/>
                <w:lang w:eastAsia="zh-CN" w:bidi="ar"/>
              </w:rPr>
              <w:t>；能够分析涉及内脏系统常见疾病药理作用，临床应用及药物处方的合理性，具有初步指导合理应用药物的能力；能够分析涉及激素类药物药理作用，临床应用及药物处方的合理性，具有初步指导合理应用药物的能力；能够分析涉及化疗药物药理作用、临床应用、配伍禁忌，具有初步指导合理应用药物的能力，并能进行化疗药物的实验操作技术。</w:t>
            </w:r>
          </w:p>
        </w:tc>
        <w:tc>
          <w:tcPr>
            <w:tcW w:w="3230" w:type="dxa"/>
            <w:vAlign w:val="center"/>
          </w:tcPr>
          <w:p w14:paraId="5E9FC17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药物的作用及其机制、不良反应及临床应用等；学习药物对机体的作用及作用机制、不良反应和药物的体内代谢过程实验研究技能，培养学生新药研发所需的基本实验操作技能；使学生掌握在药品销售所需的药物适应症，注意事项，不良反应，药物配伍及处方分析等药理学知识。培养学生拥有扎实的药学专业知识和良好的药师职业道德素质及分析、处理问题和基本的药学服务能力。</w:t>
            </w:r>
          </w:p>
        </w:tc>
      </w:tr>
      <w:tr w14:paraId="61E8D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3595E70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1628" w:type="dxa"/>
            <w:vAlign w:val="center"/>
          </w:tcPr>
          <w:p w14:paraId="1E0D123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药物化学</w:t>
            </w:r>
          </w:p>
        </w:tc>
        <w:tc>
          <w:tcPr>
            <w:tcW w:w="2920" w:type="dxa"/>
            <w:vAlign w:val="center"/>
          </w:tcPr>
          <w:p w14:paraId="38709EF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使学生会查阅资料，获取信息，制定相关学习实践方案；会判断药物中杂质的来源，能进行重点药物制备操作；会分析药物结构类型、结构特点、理化性质，能进行药物鉴别操作，能制定药物定性分析方案；会分析药物化学稳定性和毒副作用，能进行药物质量评定，能分析药品生产过程中剂型选择、辅料选配、温湿度要求、氧化变质、包装选用等问题并提出处理建议；会对药品使用和贮存过程中影响药物化学反应的因素进行分析，能读懂药品说明书，能给出临床用药指导性建议，能提出药品贮存保管中预防变质措施；会总结药物的理化性质与药效、药物结构因素与药效、结构改造与药效的关系，能综合分析各类药品差异点，能提出合理用药建议。具备创新意识和创新精神；具备诚实守信、敬业爱岗、吃苦耐劳的职业道德和环境保护意识；具备严肃认真、实事求是的科学态度和严谨的工作作风；具备团队合作能力，较强语言表达能力。</w:t>
            </w:r>
          </w:p>
        </w:tc>
        <w:tc>
          <w:tcPr>
            <w:tcW w:w="3230" w:type="dxa"/>
            <w:vAlign w:val="center"/>
          </w:tcPr>
          <w:p w14:paraId="77797B2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药物的化学结构、理化性质、构效关系和重点药物的制备方法。包括药物化学结构与药物制剂生产、药品药理活性的相互关系；药物理化性质与药物制剂生产、使用的相关知识与技能。药物鉴别、检验、贮存、保管及运输的相关知识与技能，药物构效关系与药物剂型的相互关系，重点药物的合成方法及实验室制备条件；培养学生团结协作、敬业尽责等职业素质及药物制剂生产中质量安全和剂型选择，安全用药与药物检验的学习研究能力。</w:t>
            </w:r>
          </w:p>
        </w:tc>
      </w:tr>
      <w:tr w14:paraId="7BAA4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AB35AA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1628" w:type="dxa"/>
            <w:vAlign w:val="center"/>
          </w:tcPr>
          <w:p w14:paraId="168D45D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药物制剂技术与设备</w:t>
            </w:r>
          </w:p>
        </w:tc>
        <w:tc>
          <w:tcPr>
            <w:tcW w:w="2920" w:type="dxa"/>
            <w:vAlign w:val="center"/>
          </w:tcPr>
          <w:p w14:paraId="2D00E3F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通过学习本门课程，使学生能够熟练完成药物制剂生产工作项目中的原辅料的称量操作，制药设备操作，粉碎、混合、制粒、制水等基本单元操作，各类药物制剂成型技术与质量控制，以及制剂成品包装技术等具体工作任务，同时培养学生“质量第一、依法生产、实事求是、科学严谨”的职业道德和工作作风。</w:t>
            </w:r>
          </w:p>
          <w:p w14:paraId="0488314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c>
          <w:tcPr>
            <w:tcW w:w="3230" w:type="dxa"/>
            <w:vAlign w:val="center"/>
          </w:tcPr>
          <w:p w14:paraId="2FB75C4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是药物制剂技术专业的一门专业核心课。该课程生产工艺强，同药品实际生产紧密相连，是培养从事制药企业药物制剂生产专门人才的一个必备环节。学习固体制剂的定义和特点，主要剂型的设计基础理论、基本处方分析、制备过程、质量要求。结合剂型制备了解重要单元操作及主要设备的原理和应用，掌握重要辅料的性能、特点、用途和常用量。掌握制剂中药物降解的途径、规律和影响因素，稳定性恒温加速实验的基本方法。熟悉制剂配伍中常见物理化学配伍变化及配伍禁忌的处理原则。学习常用药物剂型及其制剂的制备工艺技术及基本操作技能。培养学生获取知识、团结协作的基本素质及认识、分析、处理问题、制剂生产、调配的能力。</w:t>
            </w:r>
          </w:p>
        </w:tc>
      </w:tr>
      <w:tr w14:paraId="4B98A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6" w:space="0"/>
            </w:tcBorders>
            <w:vAlign w:val="center"/>
          </w:tcPr>
          <w:p w14:paraId="6EF8B7E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w:t>
            </w:r>
          </w:p>
        </w:tc>
        <w:tc>
          <w:tcPr>
            <w:tcW w:w="1628" w:type="dxa"/>
            <w:vAlign w:val="center"/>
          </w:tcPr>
          <w:p w14:paraId="2105359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药物分析检验技术</w:t>
            </w:r>
          </w:p>
        </w:tc>
        <w:tc>
          <w:tcPr>
            <w:tcW w:w="2920" w:type="dxa"/>
            <w:vAlign w:val="center"/>
          </w:tcPr>
          <w:p w14:paraId="37E431E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使学生能掌握药物质量标准、标准操作规程等基本概念，能解释现行各类药品质量标准之间关系；会查阅资料，获取信息，会正确合理使用《中国药典》。掌握药物检测工作的基本程序，能熟练操作紫外可见分光光度计，会使用其进行药物的含量测定，会使用薄层色谱法进行药物的鉴别检查，熟悉高效液相色谱仪的仿真操作。掌握药物鉴别、杂质检查、剂型常规检查、含量测定等原理及方法，会进行相应的含量测定计算，能熟练完成常见酸碱滴定、氧化还原滴定、银量法等滴定操作，能完成典型产品的质量全检。具备创新意识和创新精神；具备诚实守信、敬业爱岗、吃苦耐劳的职业道德和环境保护意识；具备严肃认真、实事求是的科学态度和严谨的工作作风；具备团队合作能力，较强语言表达能力。</w:t>
            </w:r>
          </w:p>
        </w:tc>
        <w:tc>
          <w:tcPr>
            <w:tcW w:w="3230" w:type="dxa"/>
            <w:vAlign w:val="center"/>
          </w:tcPr>
          <w:p w14:paraId="3BB74CB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药品质量检验的功能、分类、要求及基本程序等知识，学习药品质量标准定义、类别、主要内容，学习《中国药典》的历史沿革、结构组成，能够正确合理使用《中国药典》。学习杂质检查基本知识，掌握常见一般杂质检查原则及方法。学习制剂分析的定义、特点，掌握片剂、注射剂、胶囊剂等剂型的常规检查内容，了解常见干扰因素。学习维生素类、芳胺类、芳酸类、巴比妥类及抗生素类等典型药物的检验方法和含量测定的计算。使学生逐步树立质量意识，培养其协作、敬业、爱岗、尽责等职业素质及灵活应用药典建立质量标准的能力。</w:t>
            </w:r>
          </w:p>
        </w:tc>
      </w:tr>
    </w:tbl>
    <w:p w14:paraId="57ADDA49">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（2）专业限选课程</w:t>
      </w:r>
    </w:p>
    <w:tbl>
      <w:tblPr>
        <w:tblStyle w:val="14"/>
        <w:tblW w:w="86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990"/>
        <w:gridCol w:w="3230"/>
      </w:tblGrid>
      <w:tr w14:paraId="1569A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536E731F">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3C4B3687">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990" w:type="dxa"/>
            <w:tcBorders>
              <w:top w:val="single" w:color="000000" w:sz="6" w:space="0"/>
            </w:tcBorders>
            <w:vAlign w:val="center"/>
          </w:tcPr>
          <w:p w14:paraId="6CFD613D">
            <w:pPr>
              <w:widowControl/>
              <w:jc w:val="center"/>
              <w:textAlignment w:val="center"/>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bidi="ar"/>
              </w:rPr>
              <w:t>课程目标</w:t>
            </w:r>
          </w:p>
        </w:tc>
        <w:tc>
          <w:tcPr>
            <w:tcW w:w="3230" w:type="dxa"/>
            <w:tcBorders>
              <w:top w:val="single" w:color="000000" w:sz="6" w:space="0"/>
            </w:tcBorders>
            <w:vAlign w:val="center"/>
          </w:tcPr>
          <w:p w14:paraId="328E6436">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课程内容及要求</w:t>
            </w:r>
          </w:p>
        </w:tc>
      </w:tr>
      <w:tr w14:paraId="2FFEE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6B009B7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1B10B39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药物制剂证书模块</w:t>
            </w:r>
          </w:p>
        </w:tc>
        <w:tc>
          <w:tcPr>
            <w:tcW w:w="2990" w:type="dxa"/>
            <w:shd w:val="clear" w:color="auto" w:fill="auto"/>
            <w:vAlign w:val="center"/>
          </w:tcPr>
          <w:p w14:paraId="3552DE6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本课程适合药物制剂技术专业的人才培养，掌握药物剂型和制剂的制备理论、生产工艺技术及质量控制方法，掌握片剂、注射剂等各种剂型的特点、处方及工艺设计的理论和实践知识，掌握各种剂型的质量要求和检验方法，初步具备制剂设计和制备的能力以及分析和解决制剂质量问题的能力。</w:t>
            </w:r>
          </w:p>
        </w:tc>
        <w:tc>
          <w:tcPr>
            <w:tcW w:w="3230" w:type="dxa"/>
            <w:shd w:val="clear" w:color="auto" w:fill="auto"/>
            <w:vAlign w:val="center"/>
          </w:tcPr>
          <w:p w14:paraId="0317D76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本课程开展制剂的制备理论、生产工艺技术及质量控制方法的学习，了解制剂过程中常用设备的基本结构、性能、工作原理、使用与维护，了解主要制剂设备的工作原理及使用方法，能对制剂设备使用过程中常见的故障进行分析、处理。通过药物制剂实验，使学生掌握常用药物剂型的制备工艺、质量要求，并运用所学的理论知识分析解决实验中的实际问题，达到掌握常用剂型的制备基本操作技能，为今后从事药物制剂工作奠定基础。</w:t>
            </w:r>
          </w:p>
        </w:tc>
      </w:tr>
      <w:tr w14:paraId="0ECAE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298CDD3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2</w:t>
            </w:r>
          </w:p>
        </w:tc>
        <w:tc>
          <w:tcPr>
            <w:tcW w:w="1628" w:type="dxa"/>
            <w:shd w:val="clear" w:color="auto" w:fill="auto"/>
            <w:vAlign w:val="center"/>
          </w:tcPr>
          <w:p w14:paraId="337750D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药学综合知识与技能</w:t>
            </w:r>
          </w:p>
        </w:tc>
        <w:tc>
          <w:tcPr>
            <w:tcW w:w="2990" w:type="dxa"/>
            <w:shd w:val="clear" w:color="auto" w:fill="auto"/>
            <w:vAlign w:val="center"/>
          </w:tcPr>
          <w:p w14:paraId="7E183CA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要求学生掌握药学服务所需的理论知识，具备综合应用各项专业知识和技能，正确处理和解决药学服务过程中遇到的各种实际问题，指导临床合理用药的能力</w:t>
            </w:r>
          </w:p>
          <w:p w14:paraId="33AA39C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c>
          <w:tcPr>
            <w:tcW w:w="3230" w:type="dxa"/>
            <w:shd w:val="clear" w:color="auto" w:fill="auto"/>
            <w:vAlign w:val="center"/>
          </w:tcPr>
          <w:p w14:paraId="24EB61E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从药学服务岗位所需的知识、能力和素质要求出发，依据药学服务的具体工作，围绕处方调剂、常见病症的用药指导、用药咨询服务与安全用药等教学内容，通过相关能力训练，使学生能够综合应用各项专业知识和技能，正确处理和解决药学服务过程中遇到的各种实际问题，提高指导临床合理用药的能力。</w:t>
            </w:r>
          </w:p>
        </w:tc>
      </w:tr>
      <w:tr w14:paraId="091C8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0DEE25A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121BB80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医药商品知识</w:t>
            </w:r>
          </w:p>
        </w:tc>
        <w:tc>
          <w:tcPr>
            <w:tcW w:w="2990" w:type="dxa"/>
            <w:vAlign w:val="center"/>
          </w:tcPr>
          <w:p w14:paraId="596409A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要求学生掌握药学服务所需的理论知识，具备综合应用各项专业知识和技能，正确处理和解决药学服务过程中遇到的各种实际问题，指导临床合理用药的能力</w:t>
            </w:r>
          </w:p>
        </w:tc>
        <w:tc>
          <w:tcPr>
            <w:tcW w:w="3230" w:type="dxa"/>
            <w:vAlign w:val="center"/>
          </w:tcPr>
          <w:p w14:paraId="790A2E1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学会用简单的方法鉴别伪劣药品；能对常用药品进行详细的介绍，能对常见轻微病症提供适宜的药品并进行合理用药指导。掌握不同药品的储藏养护常识及注意事项，保证药品的质量安全。</w:t>
            </w:r>
          </w:p>
        </w:tc>
      </w:tr>
      <w:tr w14:paraId="55034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3FF34AC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0897537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医药市场营销</w:t>
            </w:r>
          </w:p>
        </w:tc>
        <w:tc>
          <w:tcPr>
            <w:tcW w:w="2990" w:type="dxa"/>
            <w:vAlign w:val="center"/>
          </w:tcPr>
          <w:p w14:paraId="2B49FA7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培养学生团结协作、爱岗敬业、尽职尽责等职业素质，自我管理、自主学习、交流表达、团队合作、刻苦耐挫、应急应变及信息技术应用能力。</w:t>
            </w:r>
          </w:p>
          <w:p w14:paraId="07575DC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c>
          <w:tcPr>
            <w:tcW w:w="3230" w:type="dxa"/>
            <w:vAlign w:val="center"/>
          </w:tcPr>
          <w:p w14:paraId="556EF45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掌握医药市场营销过程中市场调研，市场开发，市场渠道设计，市场促销技术：包括市场调研，市场调研报告等知识；具备顾客购买行为分析，市场环境分析，目标市场定位，产品策略，价格策略，制定市场开发项目报告的能力；能够具备行分销渠道设计；促销策略，营业推广，公共关系，市场促销报告等技能。</w:t>
            </w:r>
          </w:p>
        </w:tc>
      </w:tr>
      <w:tr w14:paraId="53EF4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018421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628" w:type="dxa"/>
            <w:vAlign w:val="center"/>
          </w:tcPr>
          <w:p w14:paraId="6902B01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科技文献写作</w:t>
            </w:r>
          </w:p>
        </w:tc>
        <w:tc>
          <w:tcPr>
            <w:tcW w:w="2990" w:type="dxa"/>
            <w:vAlign w:val="center"/>
          </w:tcPr>
          <w:p w14:paraId="3486460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学习各种传统和网络文献资源的使用，鼓励学生将文献资源运用于学习，通过实例分析与实践操作，提高学生综合获取和利用文献信息的能力。</w:t>
            </w:r>
          </w:p>
        </w:tc>
        <w:tc>
          <w:tcPr>
            <w:tcW w:w="3230" w:type="dxa"/>
            <w:vAlign w:val="center"/>
          </w:tcPr>
          <w:p w14:paraId="3BBB8D2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学习了解本专业及相关专业文献概况，掌握信息检索的基本原理与方法，掌握计算机检索的检索方法及技巧，掌握应用现代信息技术及设备，从大量的文献信息源中快、准、全地获取有用的信息。</w:t>
            </w:r>
          </w:p>
        </w:tc>
      </w:tr>
      <w:tr w14:paraId="0098B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68CDF3D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w:t>
            </w:r>
          </w:p>
        </w:tc>
        <w:tc>
          <w:tcPr>
            <w:tcW w:w="1628" w:type="dxa"/>
            <w:vAlign w:val="center"/>
          </w:tcPr>
          <w:p w14:paraId="14B3A47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保健品基础</w:t>
            </w:r>
          </w:p>
        </w:tc>
        <w:tc>
          <w:tcPr>
            <w:tcW w:w="2990" w:type="dxa"/>
            <w:vAlign w:val="center"/>
          </w:tcPr>
          <w:p w14:paraId="39EF98A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培养学生进行功能性食品开发推广的全过程的能力，对已有理论知识和技能的综合应用能力、自主学习能力、创新能力及其职业综合素质。</w:t>
            </w:r>
          </w:p>
        </w:tc>
        <w:tc>
          <w:tcPr>
            <w:tcW w:w="3230" w:type="dxa"/>
            <w:vAlign w:val="center"/>
          </w:tcPr>
          <w:p w14:paraId="54A35F6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学习功能性食品的基本概念、各种功能性食品开发原理、功能性食品的生产技术与管理等内容。</w:t>
            </w:r>
          </w:p>
          <w:p w14:paraId="132AA1E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r>
      <w:tr w14:paraId="19206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15602D0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w:t>
            </w:r>
          </w:p>
        </w:tc>
        <w:tc>
          <w:tcPr>
            <w:tcW w:w="1628" w:type="dxa"/>
            <w:vAlign w:val="center"/>
          </w:tcPr>
          <w:p w14:paraId="4C382FC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药品微生物检测技术</w:t>
            </w:r>
          </w:p>
        </w:tc>
        <w:tc>
          <w:tcPr>
            <w:tcW w:w="2990" w:type="dxa"/>
            <w:vAlign w:val="center"/>
          </w:tcPr>
          <w:p w14:paraId="2D01D84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通过本课程的学习，使学生掌握微生物的基础知识和操作技能，具备医药工业洁净室（区）中空气洁净级别的检测能力、灭菌药品的无菌检验能力、药品中微生物总数的检测能力、药品控制菌及螨类的检查能力、抗生素效价的微生物检定能力、热原的检测能力、细菌内毒素的检测能力。</w:t>
            </w:r>
          </w:p>
        </w:tc>
        <w:tc>
          <w:tcPr>
            <w:tcW w:w="3230" w:type="dxa"/>
            <w:vAlign w:val="center"/>
          </w:tcPr>
          <w:p w14:paraId="01B97FB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学习微生物显微观察技术、培养基配制技术、消毒灭菌技术、微生物纯培养技术、微生物生长测定技术、菌种保藏技术、医药工业洁净室（区）中空气洁净级别的检测技术以及药品微生物检测技术。</w:t>
            </w:r>
          </w:p>
          <w:p w14:paraId="7FA38B4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r>
      <w:tr w14:paraId="6CD55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16F6328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w:t>
            </w:r>
          </w:p>
        </w:tc>
        <w:tc>
          <w:tcPr>
            <w:tcW w:w="1628" w:type="dxa"/>
            <w:vAlign w:val="center"/>
          </w:tcPr>
          <w:p w14:paraId="201C3A6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国际商务英语</w:t>
            </w:r>
          </w:p>
        </w:tc>
        <w:tc>
          <w:tcPr>
            <w:tcW w:w="2990" w:type="dxa"/>
            <w:vAlign w:val="center"/>
          </w:tcPr>
          <w:p w14:paraId="74B707E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在培养学生英语语言能力的同时，让学生熟悉各种商务情景和商务活动，能与外商用英语进行交流和业务洽谈。学习相关商务英语文化知识，掌握基本经贸理论，熟悉国际商务英语信函的写作方法，培养具备商务英语听、说、读、写、译能力，具有较强的外贸业务实践能力，独立分析解决实际问题能力和开拓创新驾驭市场能力的应用性英语人才。</w:t>
            </w:r>
          </w:p>
        </w:tc>
        <w:tc>
          <w:tcPr>
            <w:tcW w:w="3230" w:type="dxa"/>
            <w:vAlign w:val="center"/>
          </w:tcPr>
          <w:p w14:paraId="6320F22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fldChar w:fldCharType="begin"/>
            </w:r>
            <w:r>
              <w:rPr>
                <w:rFonts w:hint="eastAsia" w:ascii="仿宋" w:hAnsi="仿宋" w:eastAsia="仿宋" w:cs="仿宋"/>
                <w:color w:val="auto"/>
                <w:kern w:val="0"/>
                <w:sz w:val="24"/>
                <w:szCs w:val="24"/>
                <w:lang w:eastAsia="zh-CN" w:bidi="ar"/>
              </w:rPr>
              <w:instrText xml:space="preserve"> HYPERLINK "https://wenku.baidu.com/user/mydocs" \t "_blank" </w:instrText>
            </w:r>
            <w:r>
              <w:rPr>
                <w:rFonts w:hint="eastAsia" w:ascii="仿宋" w:hAnsi="仿宋" w:eastAsia="仿宋" w:cs="仿宋"/>
                <w:color w:val="auto"/>
                <w:kern w:val="0"/>
                <w:sz w:val="24"/>
                <w:szCs w:val="24"/>
                <w:lang w:eastAsia="zh-CN" w:bidi="ar"/>
              </w:rPr>
              <w:fldChar w:fldCharType="separate"/>
            </w:r>
            <w:r>
              <w:rPr>
                <w:rFonts w:hint="eastAsia" w:ascii="仿宋" w:hAnsi="仿宋" w:eastAsia="仿宋" w:cs="仿宋"/>
                <w:color w:val="auto"/>
                <w:kern w:val="0"/>
                <w:sz w:val="24"/>
                <w:szCs w:val="24"/>
                <w:lang w:eastAsia="zh-CN" w:bidi="ar"/>
              </w:rPr>
              <w:fldChar w:fldCharType="end"/>
            </w:r>
            <w:r>
              <w:rPr>
                <w:rFonts w:hint="eastAsia" w:ascii="仿宋" w:hAnsi="仿宋" w:eastAsia="仿宋" w:cs="仿宋"/>
                <w:color w:val="auto"/>
                <w:kern w:val="0"/>
                <w:sz w:val="24"/>
                <w:szCs w:val="24"/>
                <w:lang w:eastAsia="zh-CN" w:bidi="ar"/>
              </w:rPr>
              <w:t>学习商务英语基本词汇、主要句型、习惯表达方式，能准确阅读英语对外贸易法律法规、合同条款。</w:t>
            </w:r>
          </w:p>
          <w:p w14:paraId="6C4932A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r>
      <w:tr w14:paraId="2F9E2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5AA2565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w:t>
            </w:r>
          </w:p>
        </w:tc>
        <w:tc>
          <w:tcPr>
            <w:tcW w:w="1628" w:type="dxa"/>
            <w:vAlign w:val="center"/>
          </w:tcPr>
          <w:p w14:paraId="4FAA170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新药研发</w:t>
            </w:r>
          </w:p>
        </w:tc>
        <w:tc>
          <w:tcPr>
            <w:tcW w:w="2990" w:type="dxa"/>
            <w:vAlign w:val="center"/>
          </w:tcPr>
          <w:p w14:paraId="298CAC2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本课程根据药物化学发展趋势和面临的新挑战及其在化学和药学科学中日益重要的地位，追踪药物化学与生命科学和计算机科学等学科领域相互渗透、相互促进的发展前沿，要求学生掌握21世纪国内外新药研究的现状、实际应用和最近研究进展，展望未来的研究趋势和发展动态。</w:t>
            </w:r>
          </w:p>
        </w:tc>
        <w:tc>
          <w:tcPr>
            <w:tcW w:w="3230" w:type="dxa"/>
            <w:vAlign w:val="center"/>
          </w:tcPr>
          <w:p w14:paraId="0ABEA70E">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从新药发现的基本途径，先导化合物及其来源和先导化合物的优化方法等介绍新药设计和开发，使学生关注新方法、新技术的应用，为今后从事药品研发工作打下一定基础。</w:t>
            </w:r>
          </w:p>
          <w:p w14:paraId="493913C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r>
    </w:tbl>
    <w:p w14:paraId="21546851">
      <w:pPr>
        <w:numPr>
          <w:ilvl w:val="0"/>
          <w:numId w:val="0"/>
        </w:numPr>
        <w:spacing w:line="56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（3）综合实践课程</w:t>
      </w:r>
    </w:p>
    <w:tbl>
      <w:tblPr>
        <w:tblStyle w:val="14"/>
        <w:tblW w:w="87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1628"/>
        <w:gridCol w:w="2990"/>
        <w:gridCol w:w="3260"/>
      </w:tblGrid>
      <w:tr w14:paraId="3150D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6" w:type="dxa"/>
            <w:tcBorders>
              <w:top w:val="single" w:color="000000" w:sz="6" w:space="0"/>
              <w:left w:val="single" w:color="000000" w:sz="6" w:space="0"/>
            </w:tcBorders>
            <w:vAlign w:val="center"/>
          </w:tcPr>
          <w:p w14:paraId="253842DF">
            <w:pPr>
              <w:widowControl/>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bidi="ar"/>
              </w:rPr>
              <w:t>序号</w:t>
            </w:r>
          </w:p>
        </w:tc>
        <w:tc>
          <w:tcPr>
            <w:tcW w:w="1628" w:type="dxa"/>
            <w:tcBorders>
              <w:top w:val="single" w:color="000000" w:sz="6" w:space="0"/>
            </w:tcBorders>
            <w:vAlign w:val="center"/>
          </w:tcPr>
          <w:p w14:paraId="695AF24A">
            <w:pPr>
              <w:widowControl/>
              <w:jc w:val="center"/>
              <w:textAlignment w:val="center"/>
              <w:rPr>
                <w:rFonts w:hint="eastAsia" w:ascii="仿宋" w:hAnsi="仿宋" w:eastAsia="仿宋" w:cs="仿宋"/>
                <w:b/>
                <w:bCs/>
                <w:color w:val="auto"/>
                <w:kern w:val="0"/>
                <w:sz w:val="24"/>
                <w:szCs w:val="24"/>
                <w:lang w:eastAsia="zh-CN" w:bidi="ar"/>
              </w:rPr>
            </w:pPr>
            <w:r>
              <w:rPr>
                <w:rFonts w:hint="eastAsia" w:ascii="仿宋" w:hAnsi="仿宋" w:eastAsia="仿宋" w:cs="仿宋"/>
                <w:b/>
                <w:bCs/>
                <w:color w:val="auto"/>
                <w:kern w:val="0"/>
                <w:sz w:val="24"/>
                <w:szCs w:val="24"/>
                <w:lang w:bidi="ar"/>
              </w:rPr>
              <w:t>课程名称</w:t>
            </w:r>
          </w:p>
        </w:tc>
        <w:tc>
          <w:tcPr>
            <w:tcW w:w="2990" w:type="dxa"/>
            <w:tcBorders>
              <w:top w:val="single" w:color="000000" w:sz="6" w:space="0"/>
            </w:tcBorders>
            <w:vAlign w:val="center"/>
          </w:tcPr>
          <w:p w14:paraId="3FE34D42">
            <w:pPr>
              <w:widowControl/>
              <w:jc w:val="center"/>
              <w:textAlignment w:val="center"/>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bidi="ar"/>
              </w:rPr>
              <w:t>课程目标</w:t>
            </w:r>
          </w:p>
        </w:tc>
        <w:tc>
          <w:tcPr>
            <w:tcW w:w="3260" w:type="dxa"/>
            <w:tcBorders>
              <w:top w:val="single" w:color="000000" w:sz="6" w:space="0"/>
            </w:tcBorders>
            <w:vAlign w:val="center"/>
          </w:tcPr>
          <w:p w14:paraId="6D1E6045">
            <w:pPr>
              <w:widowControl/>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课程内容及要求</w:t>
            </w:r>
          </w:p>
        </w:tc>
      </w:tr>
      <w:tr w14:paraId="1D04F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36" w:type="dxa"/>
            <w:tcBorders>
              <w:left w:val="single" w:color="000000" w:sz="6" w:space="0"/>
            </w:tcBorders>
            <w:vAlign w:val="center"/>
          </w:tcPr>
          <w:p w14:paraId="68075B5D">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628" w:type="dxa"/>
            <w:shd w:val="clear" w:color="auto" w:fill="auto"/>
            <w:vAlign w:val="center"/>
          </w:tcPr>
          <w:p w14:paraId="41B1743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认识实习</w:t>
            </w:r>
          </w:p>
        </w:tc>
        <w:tc>
          <w:tcPr>
            <w:tcW w:w="2990" w:type="dxa"/>
            <w:shd w:val="clear" w:color="auto" w:fill="auto"/>
            <w:vAlign w:val="center"/>
          </w:tcPr>
          <w:p w14:paraId="449ACAF6">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要求学生通过查阅资料，再结合所学的药剂学知识，制定市场调查的内容，通过市场调查来掌握药品的常见药物剂型、应用以及与价格间的关系。</w:t>
            </w:r>
          </w:p>
        </w:tc>
        <w:tc>
          <w:tcPr>
            <w:tcW w:w="3260" w:type="dxa"/>
            <w:shd w:val="clear" w:color="auto" w:fill="auto"/>
            <w:vAlign w:val="center"/>
          </w:tcPr>
          <w:p w14:paraId="6C16D77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通过综合运用所学专业知识使学生获得独立工作的能力，并培养学生的综合职业能力，还可锻炼学生的社交能力、分析总结能力和团队协作能力。</w:t>
            </w:r>
          </w:p>
          <w:p w14:paraId="11F56A23">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r>
      <w:tr w14:paraId="61559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36" w:type="dxa"/>
            <w:tcBorders>
              <w:left w:val="single" w:color="000000" w:sz="6" w:space="0"/>
            </w:tcBorders>
            <w:vAlign w:val="center"/>
          </w:tcPr>
          <w:p w14:paraId="0028D0DF">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2</w:t>
            </w:r>
          </w:p>
        </w:tc>
        <w:tc>
          <w:tcPr>
            <w:tcW w:w="1628" w:type="dxa"/>
            <w:shd w:val="clear" w:color="auto" w:fill="auto"/>
            <w:vAlign w:val="center"/>
          </w:tcPr>
          <w:p w14:paraId="71813309">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生产实习</w:t>
            </w:r>
          </w:p>
        </w:tc>
        <w:tc>
          <w:tcPr>
            <w:tcW w:w="2990" w:type="dxa"/>
            <w:shd w:val="clear" w:color="auto" w:fill="auto"/>
            <w:vAlign w:val="center"/>
          </w:tcPr>
          <w:p w14:paraId="52F46D9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eastAsia="zh-CN" w:bidi="ar"/>
              </w:rPr>
              <w:t>本课程适合药物制剂技术专业的人才培养，培养以爱岗敬业和诚信为重点的良好的职业道德；培养学生岗位技能，提高学生的理论联系实践的综合工作能力，进一步提高学生从事药物制剂生产一线工作的高端技能型人才具备的生产工艺知识和操作技能。通过综合运用全部专业知识及有关基础知识解决专业技术问题，获取独立工作能力，进一步掌握专业技术。</w:t>
            </w:r>
          </w:p>
        </w:tc>
        <w:tc>
          <w:tcPr>
            <w:tcW w:w="3260" w:type="dxa"/>
            <w:shd w:val="clear" w:color="auto" w:fill="auto"/>
            <w:vAlign w:val="center"/>
          </w:tcPr>
          <w:p w14:paraId="72D8183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通过综合运用所学专业知识使学生获得独立工作的能力，并培养学生的综合职业能力；有目的的围绕毕业设计或论文进行毕业实习，以便在实践中获得有关资料，为进行毕业设计或撰写毕业论文做好准备。</w:t>
            </w:r>
          </w:p>
          <w:p w14:paraId="68C16CD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p>
        </w:tc>
      </w:tr>
      <w:tr w14:paraId="46BC7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7E45FBA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628" w:type="dxa"/>
            <w:vAlign w:val="center"/>
          </w:tcPr>
          <w:p w14:paraId="1AB3B23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毕业设计或论文</w:t>
            </w:r>
          </w:p>
        </w:tc>
        <w:tc>
          <w:tcPr>
            <w:tcW w:w="2990" w:type="dxa"/>
            <w:vAlign w:val="center"/>
          </w:tcPr>
          <w:p w14:paraId="52B96B7A">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通过这一环节的训练，学生将以往所学的基本理论、基本知识和基本技能综合运用，结合资料收集完成毕业设计或论文。通过本阶段的训练，培养学生进一步掌握生化制药企业从药品设计到药品生产各个岗位工作技能，具备一定的专业综合能力。</w:t>
            </w:r>
          </w:p>
        </w:tc>
        <w:tc>
          <w:tcPr>
            <w:tcW w:w="3260" w:type="dxa"/>
            <w:vAlign w:val="center"/>
          </w:tcPr>
          <w:p w14:paraId="20041D47">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学生了解药物制剂产品从研发、设计到生产的各个重要环节，并能够根据实践内容，合理确定毕业设计题目，掌握技术资料的检索、收集、整理技能。并在专业老师的指导下，完成毕业设计与答辩。</w:t>
            </w:r>
          </w:p>
          <w:p w14:paraId="544C9350">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r>
      <w:tr w14:paraId="1EA85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4F6EB2C2">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628" w:type="dxa"/>
            <w:vAlign w:val="center"/>
          </w:tcPr>
          <w:p w14:paraId="64E67E54">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岗位实习-1</w:t>
            </w:r>
          </w:p>
        </w:tc>
        <w:tc>
          <w:tcPr>
            <w:tcW w:w="2990" w:type="dxa"/>
            <w:vAlign w:val="center"/>
          </w:tcPr>
          <w:p w14:paraId="2F55D99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通过到制药企业进行跟岗实习，使学生认识制药企业的现场设备、装置、工艺流程及操作规范，体验制药专业所从事企业文化、职业素养、岗位特点等内容。</w:t>
            </w:r>
          </w:p>
          <w:p w14:paraId="37F9725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c>
          <w:tcPr>
            <w:tcW w:w="3260" w:type="dxa"/>
            <w:vAlign w:val="center"/>
          </w:tcPr>
          <w:p w14:paraId="1D2DDAC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了解职业岗位工作内容、工作方法与工作程序，</w:t>
            </w:r>
            <w:r>
              <w:rPr>
                <w:rFonts w:hint="eastAsia" w:ascii="仿宋" w:hAnsi="仿宋" w:eastAsia="仿宋" w:cs="仿宋"/>
                <w:color w:val="auto"/>
                <w:kern w:val="0"/>
                <w:sz w:val="24"/>
                <w:szCs w:val="24"/>
                <w:lang w:val="zh-CN" w:eastAsia="zh-CN" w:bidi="ar"/>
              </w:rPr>
              <w:t>以及制药企业生产组织管理方法、生产过程、管理制度，</w:t>
            </w:r>
            <w:r>
              <w:rPr>
                <w:rFonts w:hint="eastAsia" w:ascii="仿宋" w:hAnsi="仿宋" w:eastAsia="仿宋" w:cs="仿宋"/>
                <w:color w:val="auto"/>
                <w:kern w:val="0"/>
                <w:sz w:val="24"/>
                <w:szCs w:val="24"/>
                <w:lang w:eastAsia="zh-CN" w:bidi="ar"/>
              </w:rPr>
              <w:t>使学生认识制药生产工艺过程的基本特点，了解制药生产的组织管理和安全生产知识，</w:t>
            </w:r>
            <w:r>
              <w:rPr>
                <w:rFonts w:hint="eastAsia" w:ascii="仿宋" w:hAnsi="仿宋" w:eastAsia="仿宋" w:cs="仿宋"/>
                <w:color w:val="auto"/>
                <w:kern w:val="0"/>
                <w:sz w:val="24"/>
                <w:szCs w:val="24"/>
                <w:lang w:val="zh-CN" w:eastAsia="zh-CN" w:bidi="ar"/>
              </w:rPr>
              <w:t>培养学生的安全、健康、环保、质量等职业素质和基本工作能力</w:t>
            </w:r>
            <w:bookmarkStart w:id="8" w:name="_Toc320462656"/>
            <w:bookmarkStart w:id="9" w:name="_Toc320463447"/>
            <w:bookmarkStart w:id="10" w:name="_Toc320462462"/>
            <w:bookmarkStart w:id="11" w:name="_Toc320462332"/>
            <w:bookmarkStart w:id="12" w:name="_Toc320464011"/>
            <w:r>
              <w:rPr>
                <w:rFonts w:hint="eastAsia" w:ascii="仿宋" w:hAnsi="仿宋" w:eastAsia="仿宋" w:cs="仿宋"/>
                <w:color w:val="auto"/>
                <w:kern w:val="0"/>
                <w:sz w:val="24"/>
                <w:szCs w:val="24"/>
                <w:lang w:eastAsia="zh-CN" w:bidi="ar"/>
              </w:rPr>
              <w:t>，同时培养学生的劳动观点和良好的职业道德</w:t>
            </w:r>
            <w:bookmarkEnd w:id="8"/>
            <w:bookmarkEnd w:id="9"/>
            <w:bookmarkEnd w:id="10"/>
            <w:bookmarkEnd w:id="11"/>
            <w:bookmarkEnd w:id="12"/>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val="zh-CN" w:eastAsia="zh-CN" w:bidi="ar"/>
              </w:rPr>
              <w:t>为后续的</w:t>
            </w:r>
            <w:r>
              <w:rPr>
                <w:rFonts w:hint="eastAsia" w:ascii="仿宋" w:hAnsi="仿宋" w:eastAsia="仿宋" w:cs="仿宋"/>
                <w:color w:val="auto"/>
                <w:kern w:val="0"/>
                <w:sz w:val="24"/>
                <w:szCs w:val="24"/>
                <w:lang w:eastAsia="zh-CN" w:bidi="ar"/>
              </w:rPr>
              <w:t>“专业核心能力培养”奠定基础。</w:t>
            </w:r>
          </w:p>
        </w:tc>
      </w:tr>
      <w:tr w14:paraId="73F1A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36" w:type="dxa"/>
            <w:tcBorders>
              <w:left w:val="single" w:color="000000" w:sz="6" w:space="0"/>
            </w:tcBorders>
            <w:vAlign w:val="center"/>
          </w:tcPr>
          <w:p w14:paraId="72A7E57C">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p>
        </w:tc>
        <w:tc>
          <w:tcPr>
            <w:tcW w:w="1628" w:type="dxa"/>
            <w:vAlign w:val="center"/>
          </w:tcPr>
          <w:p w14:paraId="0CABEAFB">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岗位实习-2</w:t>
            </w:r>
          </w:p>
        </w:tc>
        <w:tc>
          <w:tcPr>
            <w:tcW w:w="2990" w:type="dxa"/>
            <w:vAlign w:val="center"/>
          </w:tcPr>
          <w:p w14:paraId="50326221">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val="en-US" w:eastAsia="zh-CN" w:bidi="ar"/>
              </w:rPr>
              <w:t>岗位实习-2</w:t>
            </w:r>
            <w:r>
              <w:rPr>
                <w:rFonts w:hint="eastAsia" w:ascii="仿宋" w:hAnsi="仿宋" w:eastAsia="仿宋" w:cs="仿宋"/>
                <w:color w:val="auto"/>
                <w:kern w:val="0"/>
                <w:sz w:val="24"/>
                <w:szCs w:val="24"/>
                <w:lang w:eastAsia="zh-CN" w:bidi="ar"/>
              </w:rPr>
              <w:t>是学生在校内或校外就业单位等实训场地进行生产岗位的操作训练，掌握生产过程的基本操作，学会对生产过程的分析和处理，通过</w:t>
            </w:r>
            <w:r>
              <w:rPr>
                <w:rFonts w:hint="eastAsia" w:ascii="仿宋" w:hAnsi="仿宋" w:eastAsia="仿宋" w:cs="仿宋"/>
                <w:color w:val="auto"/>
                <w:kern w:val="0"/>
                <w:sz w:val="24"/>
                <w:szCs w:val="24"/>
                <w:lang w:val="en-US" w:eastAsia="zh-CN" w:bidi="ar"/>
              </w:rPr>
              <w:t>岗位实习</w:t>
            </w:r>
            <w:r>
              <w:rPr>
                <w:rFonts w:hint="eastAsia" w:ascii="仿宋" w:hAnsi="仿宋" w:eastAsia="仿宋" w:cs="仿宋"/>
                <w:color w:val="auto"/>
                <w:kern w:val="0"/>
                <w:sz w:val="24"/>
                <w:szCs w:val="24"/>
                <w:lang w:eastAsia="zh-CN" w:bidi="ar"/>
              </w:rPr>
              <w:t>，使学生实现“零距离”就业。</w:t>
            </w:r>
          </w:p>
          <w:p w14:paraId="67A09875">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p>
        </w:tc>
        <w:tc>
          <w:tcPr>
            <w:tcW w:w="3260" w:type="dxa"/>
            <w:vAlign w:val="center"/>
          </w:tcPr>
          <w:p w14:paraId="10D6D8A8">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在药品生产企业的制造车间，质检车间，原料药车间，制剂车间等岗位开展生产实习环节，以及在药品销售公司、医药流通行业开展相应的</w:t>
            </w:r>
            <w:r>
              <w:rPr>
                <w:rFonts w:hint="eastAsia" w:ascii="仿宋" w:hAnsi="仿宋" w:eastAsia="仿宋" w:cs="仿宋"/>
                <w:color w:val="auto"/>
                <w:kern w:val="0"/>
                <w:sz w:val="24"/>
                <w:szCs w:val="24"/>
                <w:lang w:val="en-US" w:eastAsia="zh-CN" w:bidi="ar"/>
              </w:rPr>
              <w:t>岗位</w:t>
            </w:r>
            <w:r>
              <w:rPr>
                <w:rFonts w:hint="eastAsia" w:ascii="仿宋" w:hAnsi="仿宋" w:eastAsia="仿宋" w:cs="仿宋"/>
                <w:color w:val="auto"/>
                <w:kern w:val="0"/>
                <w:sz w:val="24"/>
                <w:szCs w:val="24"/>
                <w:lang w:eastAsia="zh-CN" w:bidi="ar"/>
              </w:rPr>
              <w:t>实习。在企业</w:t>
            </w:r>
            <w:r>
              <w:rPr>
                <w:rFonts w:hint="eastAsia" w:ascii="仿宋" w:hAnsi="仿宋" w:eastAsia="仿宋" w:cs="仿宋"/>
                <w:color w:val="auto"/>
                <w:kern w:val="0"/>
                <w:sz w:val="24"/>
                <w:szCs w:val="24"/>
                <w:lang w:val="en-US" w:eastAsia="zh-CN" w:bidi="ar"/>
              </w:rPr>
              <w:t>岗位实习</w:t>
            </w:r>
            <w:r>
              <w:rPr>
                <w:rFonts w:hint="eastAsia" w:ascii="仿宋" w:hAnsi="仿宋" w:eastAsia="仿宋" w:cs="仿宋"/>
                <w:color w:val="auto"/>
                <w:kern w:val="0"/>
                <w:sz w:val="24"/>
                <w:szCs w:val="24"/>
                <w:lang w:eastAsia="zh-CN" w:bidi="ar"/>
              </w:rPr>
              <w:t>期间，按照学校和系部的要求，完成</w:t>
            </w:r>
            <w:r>
              <w:rPr>
                <w:rFonts w:hint="eastAsia" w:ascii="仿宋" w:hAnsi="仿宋" w:eastAsia="仿宋" w:cs="仿宋"/>
                <w:color w:val="auto"/>
                <w:kern w:val="0"/>
                <w:sz w:val="24"/>
                <w:szCs w:val="24"/>
                <w:lang w:val="en-US" w:eastAsia="zh-CN" w:bidi="ar"/>
              </w:rPr>
              <w:t>岗位实习</w:t>
            </w:r>
            <w:r>
              <w:rPr>
                <w:rFonts w:hint="eastAsia" w:ascii="仿宋" w:hAnsi="仿宋" w:eastAsia="仿宋" w:cs="仿宋"/>
                <w:color w:val="auto"/>
                <w:kern w:val="0"/>
                <w:sz w:val="24"/>
                <w:szCs w:val="24"/>
                <w:lang w:eastAsia="zh-CN" w:bidi="ar"/>
              </w:rPr>
              <w:t>周记、</w:t>
            </w:r>
            <w:r>
              <w:rPr>
                <w:rFonts w:hint="eastAsia" w:ascii="仿宋" w:hAnsi="仿宋" w:eastAsia="仿宋" w:cs="仿宋"/>
                <w:color w:val="auto"/>
                <w:kern w:val="0"/>
                <w:sz w:val="24"/>
                <w:szCs w:val="24"/>
                <w:lang w:val="en-US" w:eastAsia="zh-CN" w:bidi="ar"/>
              </w:rPr>
              <w:t>岗位实习</w:t>
            </w:r>
            <w:r>
              <w:rPr>
                <w:rFonts w:hint="eastAsia" w:ascii="仿宋" w:hAnsi="仿宋" w:eastAsia="仿宋" w:cs="仿宋"/>
                <w:color w:val="auto"/>
                <w:kern w:val="0"/>
                <w:sz w:val="24"/>
                <w:szCs w:val="24"/>
                <w:lang w:eastAsia="zh-CN" w:bidi="ar"/>
              </w:rPr>
              <w:t>报告、实习考核等相关环节，获得学分。</w:t>
            </w:r>
          </w:p>
        </w:tc>
      </w:tr>
    </w:tbl>
    <w:p w14:paraId="12EEC8BC">
      <w:pPr>
        <w:numPr>
          <w:ilvl w:val="0"/>
          <w:numId w:val="0"/>
        </w:numPr>
        <w:spacing w:line="560" w:lineRule="exact"/>
        <w:ind w:firstLine="640" w:firstLineChars="200"/>
        <w:rPr>
          <w:rFonts w:hint="eastAsia" w:ascii="仿宋" w:hAnsi="仿宋" w:eastAsia="仿宋"/>
          <w:color w:val="auto"/>
          <w:sz w:val="32"/>
          <w:szCs w:val="32"/>
          <w:lang w:val="en-US" w:eastAsia="zh-CN"/>
        </w:rPr>
      </w:pPr>
      <w:bookmarkStart w:id="13" w:name="_Toc3404"/>
      <w:bookmarkStart w:id="14" w:name="_Toc22872"/>
      <w:r>
        <w:rPr>
          <w:rFonts w:hint="eastAsia" w:ascii="仿宋" w:hAnsi="仿宋" w:eastAsia="仿宋"/>
          <w:color w:val="auto"/>
          <w:sz w:val="32"/>
          <w:szCs w:val="32"/>
          <w:lang w:val="en-US" w:eastAsia="zh-CN"/>
        </w:rPr>
        <w:t>3.素质拓展活动</w:t>
      </w:r>
      <w:bookmarkEnd w:id="13"/>
      <w:bookmarkEnd w:id="14"/>
    </w:p>
    <w:p w14:paraId="4C920600">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素质拓展活动是以专题讲座、社团活动或社会实践为载体开展的课外活动，旨在促进学生素质全面提升。由学生处负责，按照素质拓展方案内容实施。</w:t>
      </w:r>
    </w:p>
    <w:p w14:paraId="3B8C5B78">
      <w:pPr>
        <w:overflowPunct w:val="0"/>
        <w:adjustRightInd w:val="0"/>
        <w:spacing w:line="600" w:lineRule="exact"/>
        <w:ind w:firstLine="640" w:firstLineChars="200"/>
        <w:outlineLvl w:val="0"/>
        <w:rPr>
          <w:rFonts w:hint="eastAsia" w:ascii="楷体" w:hAnsi="楷体" w:eastAsia="楷体"/>
          <w:sz w:val="32"/>
          <w:szCs w:val="32"/>
          <w:lang w:val="en-US" w:eastAsia="zh-CN"/>
        </w:rPr>
      </w:pPr>
      <w:r>
        <w:rPr>
          <w:rFonts w:hint="eastAsia" w:ascii="楷体" w:hAnsi="楷体" w:eastAsia="楷体"/>
          <w:sz w:val="32"/>
          <w:szCs w:val="32"/>
          <w:lang w:val="en-US" w:eastAsia="zh-CN"/>
        </w:rPr>
        <w:t>（三）实践性教学环节</w:t>
      </w:r>
    </w:p>
    <w:p w14:paraId="3BBA38CA">
      <w:pPr>
        <w:numPr>
          <w:ilvl w:val="0"/>
          <w:numId w:val="0"/>
        </w:numPr>
        <w:overflowPunct w:val="0"/>
        <w:adjustRightInd w:val="0"/>
        <w:spacing w:line="560" w:lineRule="exact"/>
        <w:ind w:firstLine="640"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1.实训</w:t>
      </w:r>
    </w:p>
    <w:p w14:paraId="3258B28B">
      <w:pPr>
        <w:numPr>
          <w:ilvl w:val="0"/>
          <w:numId w:val="0"/>
        </w:numPr>
        <w:overflowPunct w:val="0"/>
        <w:adjustRightInd w:val="0"/>
        <w:spacing w:line="560" w:lineRule="exact"/>
        <w:ind w:firstLine="640"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校内实训基地进行溶液配制、物质鉴别、蒸馏、萃取、酸碱滴定、络合滴定、氧化还原滴定、沉淀滴定、灭火器、消防栓、灭火毯的选择及使用方法。掌握触电、中毒、化学灼伤等伤害的现场急救技术，如心肺复苏样品采集与保存、样品预处理等实训。</w:t>
      </w:r>
    </w:p>
    <w:p w14:paraId="02896D07">
      <w:pPr>
        <w:numPr>
          <w:ilvl w:val="0"/>
          <w:numId w:val="0"/>
        </w:numPr>
        <w:overflowPunct w:val="0"/>
        <w:adjustRightInd w:val="0"/>
        <w:spacing w:line="560" w:lineRule="exact"/>
        <w:ind w:firstLine="640" w:firstLineChars="200"/>
        <w:outlineLvl w:val="1"/>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2.实习</w:t>
      </w:r>
    </w:p>
    <w:p w14:paraId="1461D7AC">
      <w:pPr>
        <w:spacing w:line="560" w:lineRule="exact"/>
        <w:ind w:firstLine="640" w:firstLineChars="200"/>
        <w:rPr>
          <w:rFonts w:hint="eastAsia" w:ascii="楷体" w:hAnsi="楷体" w:eastAsia="楷体" w:cs="楷体"/>
          <w:b/>
          <w:bCs/>
          <w:color w:val="000000"/>
          <w:spacing w:val="-2"/>
          <w:sz w:val="32"/>
          <w:szCs w:val="32"/>
          <w:shd w:val="clear" w:color="auto" w:fill="FFFFFF"/>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通过岗位实习，帮助学生接触生产实际、接触社会，密切理论与实践的联系，深化学生对于社会、国情和专业背景的了解，拓宽视野，培养初步的实际工作能力、创新能力和创业敬业精神，促进职业技能与职业精神高度融合，锤炼学生意志品质，服务学生全面发展。</w:t>
      </w:r>
    </w:p>
    <w:p w14:paraId="1E57EFBE">
      <w:pPr>
        <w:overflowPunct w:val="0"/>
        <w:adjustRightInd w:val="0"/>
        <w:spacing w:line="600" w:lineRule="exact"/>
        <w:outlineLvl w:val="0"/>
        <w:rPr>
          <w:rFonts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、教学进程总体安排</w:t>
      </w:r>
    </w:p>
    <w:p w14:paraId="4895338A">
      <w:pPr>
        <w:overflowPunct w:val="0"/>
        <w:adjustRightInd w:val="0"/>
        <w:spacing w:line="600" w:lineRule="exact"/>
        <w:ind w:firstLine="640" w:firstLineChars="200"/>
        <w:outlineLvl w:val="0"/>
        <w:rPr>
          <w:rFonts w:ascii="黑体" w:hAnsi="黑体" w:eastAsia="黑体" w:cs="黑体"/>
          <w:b w:val="0"/>
          <w:bCs/>
          <w:sz w:val="32"/>
          <w:szCs w:val="32"/>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rPr>
        <w:t>中职阶段</w:t>
      </w:r>
    </w:p>
    <w:tbl>
      <w:tblPr>
        <w:tblStyle w:val="6"/>
        <w:tblpPr w:leftFromText="180" w:rightFromText="180" w:vertAnchor="text" w:horzAnchor="page" w:tblpX="1792" w:tblpY="60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655"/>
        <w:gridCol w:w="2029"/>
        <w:gridCol w:w="555"/>
        <w:gridCol w:w="601"/>
        <w:gridCol w:w="507"/>
        <w:gridCol w:w="589"/>
        <w:gridCol w:w="514"/>
        <w:gridCol w:w="520"/>
        <w:gridCol w:w="710"/>
        <w:gridCol w:w="696"/>
        <w:gridCol w:w="698"/>
      </w:tblGrid>
      <w:tr w14:paraId="0304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C0C0C0"/>
            <w:vAlign w:val="top"/>
          </w:tcPr>
          <w:p w14:paraId="3BC35E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Style w:val="15"/>
                <w:rFonts w:hint="eastAsia" w:ascii="仿宋" w:hAnsi="仿宋" w:eastAsia="仿宋" w:cs="仿宋"/>
                <w:sz w:val="24"/>
                <w:szCs w:val="24"/>
                <w:lang w:val="en-US" w:eastAsia="zh-CN" w:bidi="ar"/>
              </w:rPr>
            </w:pPr>
            <w:r>
              <w:rPr>
                <w:rStyle w:val="15"/>
                <w:rFonts w:hint="eastAsia" w:ascii="仿宋" w:hAnsi="仿宋" w:eastAsia="仿宋" w:cs="仿宋"/>
                <w:sz w:val="24"/>
                <w:szCs w:val="24"/>
                <w:lang w:val="en-US" w:eastAsia="zh-CN" w:bidi="ar"/>
              </w:rPr>
              <w:t>制药技术应用专业(3+2)中职阶段</w:t>
            </w:r>
          </w:p>
          <w:p w14:paraId="669323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2025年6月</w:t>
            </w:r>
          </w:p>
        </w:tc>
      </w:tr>
      <w:tr w14:paraId="5F47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C0C0C0"/>
            <w:vAlign w:val="top"/>
          </w:tcPr>
          <w:p w14:paraId="04DD0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Style w:val="15"/>
                <w:rFonts w:hint="eastAsia" w:ascii="仿宋" w:hAnsi="仿宋" w:eastAsia="仿宋" w:cs="仿宋"/>
                <w:i w:val="0"/>
                <w:iCs w:val="0"/>
                <w:color w:val="000000"/>
                <w:sz w:val="24"/>
                <w:szCs w:val="24"/>
                <w:lang w:val="en-US" w:eastAsia="zh-CN" w:bidi="ar"/>
              </w:rPr>
              <w:t>课程类型</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4E27F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序号</w:t>
            </w:r>
          </w:p>
        </w:tc>
        <w:tc>
          <w:tcPr>
            <w:tcW w:w="1163"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AAB71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课程名称</w:t>
            </w:r>
          </w:p>
        </w:tc>
        <w:tc>
          <w:tcPr>
            <w:tcW w:w="1885" w:type="pct"/>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1A3956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各学期周学时分配</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DDCB3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总学时</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FA91E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课程类型</w:t>
            </w:r>
          </w:p>
        </w:tc>
      </w:tr>
      <w:tr w14:paraId="6C32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7AE1E9E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8BE40B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6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9FA721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664"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5CDBA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hint="eastAsia" w:ascii="仿宋" w:hAnsi="仿宋" w:eastAsia="仿宋" w:cs="仿宋"/>
                <w:sz w:val="24"/>
                <w:szCs w:val="24"/>
                <w:lang w:val="en-US" w:eastAsia="zh-CN" w:bidi="ar"/>
              </w:rPr>
            </w:pPr>
            <w:r>
              <w:rPr>
                <w:rStyle w:val="15"/>
                <w:rFonts w:hint="eastAsia" w:ascii="仿宋" w:hAnsi="仿宋" w:eastAsia="仿宋" w:cs="仿宋"/>
                <w:sz w:val="24"/>
                <w:szCs w:val="24"/>
                <w:lang w:val="en-US" w:eastAsia="zh-CN" w:bidi="ar"/>
              </w:rPr>
              <w:t>第一</w:t>
            </w:r>
          </w:p>
          <w:p w14:paraId="534B9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学年</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09FF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Style w:val="15"/>
                <w:rFonts w:hint="eastAsia" w:ascii="仿宋" w:hAnsi="仿宋" w:eastAsia="仿宋" w:cs="仿宋"/>
                <w:sz w:val="24"/>
                <w:szCs w:val="24"/>
                <w:lang w:val="en-US" w:eastAsia="zh-CN" w:bidi="ar"/>
              </w:rPr>
            </w:pPr>
            <w:r>
              <w:rPr>
                <w:rStyle w:val="15"/>
                <w:rFonts w:hint="eastAsia" w:ascii="仿宋" w:hAnsi="仿宋" w:eastAsia="仿宋" w:cs="仿宋"/>
                <w:sz w:val="24"/>
                <w:szCs w:val="24"/>
                <w:lang w:val="en-US" w:eastAsia="zh-CN" w:bidi="ar"/>
              </w:rPr>
              <w:t>第二</w:t>
            </w:r>
          </w:p>
          <w:p w14:paraId="36F26A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学年</w:t>
            </w:r>
          </w:p>
        </w:tc>
        <w:tc>
          <w:tcPr>
            <w:tcW w:w="592" w:type="pct"/>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D0279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5"/>
                <w:rFonts w:hint="eastAsia" w:ascii="仿宋" w:hAnsi="仿宋" w:eastAsia="仿宋" w:cs="仿宋"/>
                <w:sz w:val="24"/>
                <w:szCs w:val="24"/>
                <w:lang w:val="en-US" w:eastAsia="zh-CN" w:bidi="ar"/>
              </w:rPr>
            </w:pPr>
            <w:r>
              <w:rPr>
                <w:rStyle w:val="15"/>
                <w:rFonts w:hint="eastAsia" w:ascii="仿宋" w:hAnsi="仿宋" w:eastAsia="仿宋" w:cs="仿宋"/>
                <w:sz w:val="24"/>
                <w:szCs w:val="24"/>
                <w:lang w:val="en-US" w:eastAsia="zh-CN" w:bidi="ar"/>
              </w:rPr>
              <w:t>第三</w:t>
            </w:r>
          </w:p>
          <w:p w14:paraId="138DE9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学年</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712ACF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96"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2025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理论</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CB97A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实践</w:t>
            </w:r>
          </w:p>
        </w:tc>
      </w:tr>
      <w:tr w14:paraId="4956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C0C0C0"/>
            <w:vAlign w:val="top"/>
          </w:tcPr>
          <w:p w14:paraId="2917114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0BF17F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63"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194077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015070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一</w:t>
            </w:r>
          </w:p>
        </w:tc>
        <w:tc>
          <w:tcPr>
            <w:tcW w:w="344" w:type="pct"/>
            <w:tcBorders>
              <w:top w:val="single" w:color="000000" w:sz="4" w:space="0"/>
              <w:left w:val="single" w:color="000000" w:sz="4" w:space="0"/>
              <w:bottom w:val="single" w:color="000000" w:sz="4" w:space="0"/>
              <w:right w:val="single" w:color="000000" w:sz="4" w:space="0"/>
            </w:tcBorders>
            <w:shd w:val="clear" w:color="auto" w:fill="C0C0C0"/>
            <w:vAlign w:val="top"/>
          </w:tcPr>
          <w:p w14:paraId="5148B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二</w:t>
            </w:r>
          </w:p>
        </w:tc>
        <w:tc>
          <w:tcPr>
            <w:tcW w:w="291" w:type="pct"/>
            <w:tcBorders>
              <w:top w:val="single" w:color="000000" w:sz="4" w:space="0"/>
              <w:left w:val="single" w:color="000000" w:sz="4" w:space="0"/>
              <w:bottom w:val="single" w:color="000000" w:sz="4" w:space="0"/>
              <w:right w:val="single" w:color="000000" w:sz="4" w:space="0"/>
            </w:tcBorders>
            <w:shd w:val="clear" w:color="auto" w:fill="C0C0C0"/>
            <w:vAlign w:val="top"/>
          </w:tcPr>
          <w:p w14:paraId="70027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三</w:t>
            </w:r>
          </w:p>
        </w:tc>
        <w:tc>
          <w:tcPr>
            <w:tcW w:w="337"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1671AE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四</w:t>
            </w:r>
          </w:p>
        </w:tc>
        <w:tc>
          <w:tcPr>
            <w:tcW w:w="295" w:type="pct"/>
            <w:tcBorders>
              <w:top w:val="single" w:color="000000" w:sz="4" w:space="0"/>
              <w:left w:val="single" w:color="000000" w:sz="4" w:space="0"/>
              <w:bottom w:val="single" w:color="000000" w:sz="4" w:space="0"/>
              <w:right w:val="single" w:color="000000" w:sz="4" w:space="0"/>
            </w:tcBorders>
            <w:shd w:val="clear" w:color="auto" w:fill="C0C0C0"/>
            <w:vAlign w:val="top"/>
          </w:tcPr>
          <w:p w14:paraId="154B6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五</w:t>
            </w:r>
          </w:p>
        </w:tc>
        <w:tc>
          <w:tcPr>
            <w:tcW w:w="296" w:type="pct"/>
            <w:tcBorders>
              <w:top w:val="single" w:color="000000" w:sz="4" w:space="0"/>
              <w:left w:val="single" w:color="000000" w:sz="4" w:space="0"/>
              <w:bottom w:val="single" w:color="000000" w:sz="4" w:space="0"/>
              <w:right w:val="single" w:color="000000" w:sz="4" w:space="0"/>
            </w:tcBorders>
            <w:shd w:val="clear" w:color="auto" w:fill="C0C0C0"/>
            <w:vAlign w:val="center"/>
          </w:tcPr>
          <w:p w14:paraId="4A599D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六</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F30566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9C8482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B43766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5ABA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721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公共</w:t>
            </w:r>
            <w:r>
              <w:rPr>
                <w:rStyle w:val="15"/>
                <w:rFonts w:hint="eastAsia" w:ascii="仿宋" w:hAnsi="仿宋" w:eastAsia="仿宋" w:cs="仿宋"/>
                <w:sz w:val="24"/>
                <w:szCs w:val="24"/>
                <w:lang w:val="en-US" w:eastAsia="zh-CN" w:bidi="ar"/>
              </w:rPr>
              <w:br w:type="textWrapping"/>
            </w:r>
            <w:r>
              <w:rPr>
                <w:rStyle w:val="15"/>
                <w:rFonts w:hint="eastAsia" w:ascii="仿宋" w:hAnsi="仿宋" w:eastAsia="仿宋" w:cs="仿宋"/>
                <w:sz w:val="24"/>
                <w:szCs w:val="24"/>
                <w:lang w:val="en-US" w:eastAsia="zh-CN" w:bidi="ar"/>
              </w:rPr>
              <w:t>基础</w:t>
            </w:r>
            <w:r>
              <w:rPr>
                <w:rStyle w:val="15"/>
                <w:rFonts w:hint="eastAsia" w:ascii="仿宋" w:hAnsi="仿宋" w:eastAsia="仿宋" w:cs="仿宋"/>
                <w:sz w:val="24"/>
                <w:szCs w:val="24"/>
                <w:lang w:val="en-US" w:eastAsia="zh-CN" w:bidi="ar"/>
              </w:rPr>
              <w:br w:type="textWrapping"/>
            </w:r>
            <w:r>
              <w:rPr>
                <w:rStyle w:val="15"/>
                <w:rFonts w:hint="eastAsia" w:ascii="仿宋" w:hAnsi="仿宋" w:eastAsia="仿宋" w:cs="仿宋"/>
                <w:sz w:val="24"/>
                <w:szCs w:val="24"/>
                <w:lang w:val="en-US" w:eastAsia="zh-CN" w:bidi="ar"/>
              </w:rPr>
              <w:t>课</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7909C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top"/>
          </w:tcPr>
          <w:p w14:paraId="4CA78D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语文</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92580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20FC7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5F0B5D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612F60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3BC9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6D135E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5D7599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444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0CC2C2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444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0A5BB0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5A15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2652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57C74A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9E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数学</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513726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D0A72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64CD01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6253EE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6951E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AC21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634D1B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444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73F9B0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444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05359F2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D31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C945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4DC3B8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EB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英语</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56C208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18F6A0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57D514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140263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7BE25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3063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1B7028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444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681EAD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444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5886236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0CFB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0F46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319816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6BF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中国特色社会主义</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2B333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DC6AC1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1739297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4B9AE32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2DA04D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7C9ABDF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6538B4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05A176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6AE02A2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3DF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00F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5FF00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top"/>
          </w:tcPr>
          <w:p w14:paraId="1CD0D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心理健康与职业生涯</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9362D1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03AAFE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55CA789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4B21082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CA7314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3CC394E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0408B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2DD034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11A3390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BB4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FD43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2D628F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92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哲学与人生</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26738C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4E6BB92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5C41E8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7A7739E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DAB68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2C601F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04095D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0D5785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240F4C7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26C0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5183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0D8194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52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职业道德与法治</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319DB2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4DD567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6152394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07DCA2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C7EB2B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B731C4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45C08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238514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1AD0633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9A5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4E42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7E7F9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top"/>
          </w:tcPr>
          <w:p w14:paraId="5982F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信息技术</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BCA10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2D3F37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143975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3C9929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E0E7C9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2B8214C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7E1A58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23ED810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201019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144 </w:t>
            </w:r>
          </w:p>
        </w:tc>
      </w:tr>
      <w:tr w14:paraId="7D23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298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525BF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F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体育与健康</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4C9F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476898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3F1EF0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62C1D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791F2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43E4A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1E7EAB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2327016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29218D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196 </w:t>
            </w:r>
          </w:p>
        </w:tc>
      </w:tr>
      <w:tr w14:paraId="202F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9A1F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0D6087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C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音乐欣赏</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15A1E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71A730B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0D63C1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4CE3838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4BB1DDA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254F615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761421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1FDBD57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7AF5A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r>
      <w:tr w14:paraId="052E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84E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66EF6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C2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礼乐修身</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A48EC1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472369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78D1122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3799CAA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3A9CCE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152E83D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42D733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36B6B9E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07CFB5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r>
      <w:tr w14:paraId="47884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FDDD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7A7E71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87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美术欣赏</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2B296C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16861E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2E7D85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3373174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3ADBB7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05231AF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22114A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39C2792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76F3AD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r>
      <w:tr w14:paraId="683F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147D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159631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top"/>
          </w:tcPr>
          <w:p w14:paraId="2C2D38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硬笔书法</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67C2B5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36E3B00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5BC8A1E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31F72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47C9FD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3A32B6C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3F9555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37CC2AE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375E09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r>
      <w:tr w14:paraId="29CD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97D8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75459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824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中国历史</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5E787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77AC49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0.5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0CDEF73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7A53D6C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AA5EA0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139859E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19A128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26CA7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45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1D0DBD0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1BE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C51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458A63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DF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世界历史</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BDA613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3CB7A2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0ABC555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3815DBA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0CAF4FC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749F6C9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791F4E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2FB17C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03D5FC1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98B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61A3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461549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124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劳动教育</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E0CD8B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5025327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751AD48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50B2E24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27CC0E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45EBCA8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04769A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5E0937D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718BF1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r>
      <w:tr w14:paraId="7995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070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3283A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C1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就业指导</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3697AE1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DD6553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02E0EBE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4E9E041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4344E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123D2E9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4E5A82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30279EB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3965AA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r>
      <w:tr w14:paraId="2AE2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B555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168A19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E4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安全教育/中华传统文化</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780FC2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E9C81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0C9808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6FBE5C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72F812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1C2ED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1B93E6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98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3B029BB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7191E2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98 </w:t>
            </w:r>
          </w:p>
        </w:tc>
      </w:tr>
      <w:tr w14:paraId="1045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869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27CB1A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B8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军事训练</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F5333C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7949E5A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20B3410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1BC3076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C48ED3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20C2525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12A038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44346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25A4E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44 </w:t>
            </w:r>
          </w:p>
        </w:tc>
      </w:tr>
      <w:tr w14:paraId="397A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911" w:type="pct"/>
            <w:gridSpan w:val="3"/>
            <w:tcBorders>
              <w:top w:val="single" w:color="000000" w:sz="4" w:space="0"/>
              <w:left w:val="single" w:color="000000" w:sz="4" w:space="0"/>
              <w:bottom w:val="single" w:color="000000" w:sz="4" w:space="0"/>
              <w:right w:val="single" w:color="000000" w:sz="4" w:space="0"/>
            </w:tcBorders>
            <w:shd w:val="clear" w:color="auto" w:fill="D8D8D8"/>
            <w:vAlign w:val="top"/>
          </w:tcPr>
          <w:p w14:paraId="329B4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公共基础课小结</w:t>
            </w:r>
          </w:p>
        </w:tc>
        <w:tc>
          <w:tcPr>
            <w:tcW w:w="319" w:type="pct"/>
            <w:tcBorders>
              <w:top w:val="single" w:color="000000" w:sz="4" w:space="0"/>
              <w:left w:val="single" w:color="000000" w:sz="4" w:space="0"/>
              <w:bottom w:val="single" w:color="000000" w:sz="4" w:space="0"/>
              <w:right w:val="single" w:color="000000" w:sz="4" w:space="0"/>
            </w:tcBorders>
            <w:shd w:val="clear" w:color="auto" w:fill="D8D8D8"/>
            <w:vAlign w:val="top"/>
          </w:tcPr>
          <w:p w14:paraId="6FD29B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 </w:t>
            </w:r>
          </w:p>
        </w:tc>
        <w:tc>
          <w:tcPr>
            <w:tcW w:w="344" w:type="pct"/>
            <w:tcBorders>
              <w:top w:val="single" w:color="000000" w:sz="4" w:space="0"/>
              <w:left w:val="single" w:color="000000" w:sz="4" w:space="0"/>
              <w:bottom w:val="single" w:color="000000" w:sz="4" w:space="0"/>
              <w:right w:val="single" w:color="000000" w:sz="4" w:space="0"/>
            </w:tcBorders>
            <w:shd w:val="clear" w:color="auto" w:fill="D8D8D8"/>
            <w:vAlign w:val="top"/>
          </w:tcPr>
          <w:p w14:paraId="16E1B8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 </w:t>
            </w:r>
          </w:p>
        </w:tc>
        <w:tc>
          <w:tcPr>
            <w:tcW w:w="291" w:type="pct"/>
            <w:tcBorders>
              <w:top w:val="single" w:color="000000" w:sz="4" w:space="0"/>
              <w:left w:val="single" w:color="000000" w:sz="4" w:space="0"/>
              <w:bottom w:val="single" w:color="000000" w:sz="4" w:space="0"/>
              <w:right w:val="single" w:color="000000" w:sz="4" w:space="0"/>
            </w:tcBorders>
            <w:shd w:val="clear" w:color="auto" w:fill="D8D8D8"/>
            <w:vAlign w:val="top"/>
          </w:tcPr>
          <w:p w14:paraId="4F62CA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337" w:type="pct"/>
            <w:tcBorders>
              <w:top w:val="single" w:color="000000" w:sz="4" w:space="0"/>
              <w:left w:val="single" w:color="000000" w:sz="4" w:space="0"/>
              <w:bottom w:val="single" w:color="000000" w:sz="4" w:space="0"/>
              <w:right w:val="single" w:color="000000" w:sz="4" w:space="0"/>
            </w:tcBorders>
            <w:shd w:val="clear" w:color="auto" w:fill="D8D8D8"/>
            <w:vAlign w:val="top"/>
          </w:tcPr>
          <w:p w14:paraId="363316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295" w:type="pct"/>
            <w:tcBorders>
              <w:top w:val="single" w:color="000000" w:sz="4" w:space="0"/>
              <w:left w:val="single" w:color="000000" w:sz="4" w:space="0"/>
              <w:bottom w:val="single" w:color="000000" w:sz="4" w:space="0"/>
              <w:right w:val="single" w:color="000000" w:sz="4" w:space="0"/>
            </w:tcBorders>
            <w:shd w:val="clear" w:color="auto" w:fill="D8D8D8"/>
            <w:vAlign w:val="top"/>
          </w:tcPr>
          <w:p w14:paraId="6ADA4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22 </w:t>
            </w:r>
          </w:p>
        </w:tc>
        <w:tc>
          <w:tcPr>
            <w:tcW w:w="296" w:type="pct"/>
            <w:tcBorders>
              <w:top w:val="single" w:color="000000" w:sz="4" w:space="0"/>
              <w:left w:val="single" w:color="000000" w:sz="4" w:space="0"/>
              <w:bottom w:val="single" w:color="000000" w:sz="4" w:space="0"/>
              <w:right w:val="single" w:color="000000" w:sz="4" w:space="0"/>
            </w:tcBorders>
            <w:shd w:val="clear" w:color="auto" w:fill="D8D8D8"/>
            <w:vAlign w:val="top"/>
          </w:tcPr>
          <w:p w14:paraId="3188AA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 </w:t>
            </w:r>
          </w:p>
        </w:tc>
        <w:tc>
          <w:tcPr>
            <w:tcW w:w="407" w:type="pct"/>
            <w:tcBorders>
              <w:top w:val="single" w:color="000000" w:sz="4" w:space="0"/>
              <w:left w:val="single" w:color="000000" w:sz="4" w:space="0"/>
              <w:bottom w:val="single" w:color="000000" w:sz="4" w:space="0"/>
              <w:right w:val="single" w:color="000000" w:sz="4" w:space="0"/>
            </w:tcBorders>
            <w:shd w:val="clear" w:color="auto" w:fill="D8D8D8"/>
            <w:vAlign w:val="top"/>
          </w:tcPr>
          <w:p w14:paraId="717F73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2168 </w:t>
            </w:r>
          </w:p>
        </w:tc>
        <w:tc>
          <w:tcPr>
            <w:tcW w:w="396" w:type="pct"/>
            <w:tcBorders>
              <w:top w:val="single" w:color="000000" w:sz="4" w:space="0"/>
              <w:left w:val="single" w:color="000000" w:sz="4" w:space="0"/>
              <w:bottom w:val="single" w:color="000000" w:sz="4" w:space="0"/>
              <w:right w:val="single" w:color="000000" w:sz="4" w:space="0"/>
            </w:tcBorders>
            <w:shd w:val="clear" w:color="auto" w:fill="D8D8D8"/>
            <w:vAlign w:val="top"/>
          </w:tcPr>
          <w:p w14:paraId="5BC2B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1560 </w:t>
            </w:r>
          </w:p>
        </w:tc>
        <w:tc>
          <w:tcPr>
            <w:tcW w:w="397" w:type="pct"/>
            <w:tcBorders>
              <w:top w:val="single" w:color="000000" w:sz="4" w:space="0"/>
              <w:left w:val="single" w:color="000000" w:sz="4" w:space="0"/>
              <w:bottom w:val="single" w:color="000000" w:sz="4" w:space="0"/>
              <w:right w:val="single" w:color="000000" w:sz="4" w:space="0"/>
            </w:tcBorders>
            <w:shd w:val="clear" w:color="auto" w:fill="D8D8D8"/>
            <w:vAlign w:val="top"/>
          </w:tcPr>
          <w:p w14:paraId="09B4B2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608 </w:t>
            </w:r>
          </w:p>
        </w:tc>
      </w:tr>
      <w:tr w14:paraId="4229A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7F5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专业课</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06BA713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BA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医药基础</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93A28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940A7C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2AA1B69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39BFF8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C39E06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30DA454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55885A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546CC0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66EE87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 </w:t>
            </w:r>
          </w:p>
        </w:tc>
      </w:tr>
      <w:tr w14:paraId="386D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4BF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174777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334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药用基础化学</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35E6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2F0AF0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1B51B82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76E232D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BE172D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7179FFD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59A26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186792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0ADB9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108 </w:t>
            </w:r>
          </w:p>
        </w:tc>
      </w:tr>
      <w:tr w14:paraId="1388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C47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3ADFF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64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药理学</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88E19F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50E0C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3123413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7F769D7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87D8A2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49CCB75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140D8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356DDD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5B79B9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r>
      <w:tr w14:paraId="2578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B27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5A0B55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top"/>
          </w:tcPr>
          <w:p w14:paraId="2BC513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color w:val="FF0000"/>
                <w:sz w:val="24"/>
                <w:szCs w:val="24"/>
                <w:lang w:val="en-US" w:eastAsia="zh-CN" w:bidi="ar"/>
              </w:rPr>
              <w:t>药品生产质量管理规范实务</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5A5E4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Style w:val="15"/>
                <w:rFonts w:hint="eastAsia" w:ascii="仿宋" w:hAnsi="仿宋" w:eastAsia="仿宋" w:cs="仿宋"/>
                <w:sz w:val="24"/>
                <w:szCs w:val="24"/>
                <w:lang w:val="en-US" w:eastAsia="zh-CN" w:bidi="ar"/>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23A12E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14C1DA6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6261BDB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92A7F1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6429C43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7C1744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67A160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3B3297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r>
      <w:tr w14:paraId="7AF6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FB39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0FA441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1F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药物化学</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53B0283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0BEA434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61D485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1029BEF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0513A0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B2E04C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311E61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3079633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19BEB2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 </w:t>
            </w:r>
          </w:p>
        </w:tc>
      </w:tr>
      <w:tr w14:paraId="2F12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310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1A9237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top"/>
          </w:tcPr>
          <w:p w14:paraId="76DC9F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药事管理与法规</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B8DB80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29522CB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372FCD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36A6CC9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5762A1F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2687F62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242586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6AC548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16BE2C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r>
      <w:tr w14:paraId="127D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790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38DB1C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95A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药物制剂设备</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59F834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5BBA34B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54DD56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209892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74DD9E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5A88C85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6B51C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740F3CF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3A0CEE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 </w:t>
            </w:r>
          </w:p>
        </w:tc>
      </w:tr>
      <w:tr w14:paraId="3CB42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130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0C6FDD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86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药物制剂技术</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18DA7EF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1B173A6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3B1A45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7B7705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2919A1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327469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3F4DD4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475A29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2369DB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108 </w:t>
            </w:r>
          </w:p>
        </w:tc>
      </w:tr>
      <w:tr w14:paraId="4F7D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628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2F5E68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A4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药物检验技术</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A3DDF1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53EF65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3F0A81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6EB71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1E80973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3346E54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04A968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25AF284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4DA73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72 </w:t>
            </w:r>
          </w:p>
        </w:tc>
      </w:tr>
      <w:tr w14:paraId="0D0F0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3EF8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72173F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8D7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医药商品购销</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38FB44D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248538E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0A49C8F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47550C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B92B56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1B4EB89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2154EA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48224A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4EAD99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 </w:t>
            </w:r>
          </w:p>
        </w:tc>
      </w:tr>
      <w:tr w14:paraId="16D7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FAF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050422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82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制药工艺基础</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6A84FBD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41CF387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0455AD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63FAD0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3753FE3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205494D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44F0E6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597DE7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14E485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 </w:t>
            </w:r>
          </w:p>
        </w:tc>
      </w:tr>
      <w:tr w14:paraId="64AE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691C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7CF30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66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职业能力</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44F9ED3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7DC40E6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6381840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57117C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2E4425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435726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58B58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104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484ECD1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076460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104 </w:t>
            </w:r>
          </w:p>
        </w:tc>
      </w:tr>
      <w:tr w14:paraId="7ADBE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0950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top"/>
          </w:tcPr>
          <w:p w14:paraId="0357CF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D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岗位实习</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top"/>
          </w:tcPr>
          <w:p w14:paraId="2A8AA2D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top"/>
          </w:tcPr>
          <w:p w14:paraId="6E39A09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top"/>
          </w:tcPr>
          <w:p w14:paraId="75C1400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top"/>
          </w:tcPr>
          <w:p w14:paraId="6F8A92E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top"/>
          </w:tcPr>
          <w:p w14:paraId="68CAAE3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top"/>
          </w:tcPr>
          <w:p w14:paraId="1EF441F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top"/>
          </w:tcPr>
          <w:p w14:paraId="7ABCF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540 </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14:paraId="3E9CB82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top"/>
          </w:tcPr>
          <w:p w14:paraId="649B6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540 </w:t>
            </w:r>
          </w:p>
        </w:tc>
      </w:tr>
      <w:tr w14:paraId="05CD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 w:hRule="atLeast"/>
        </w:trPr>
        <w:tc>
          <w:tcPr>
            <w:tcW w:w="1911" w:type="pct"/>
            <w:gridSpan w:val="3"/>
            <w:tcBorders>
              <w:top w:val="single" w:color="000000" w:sz="4" w:space="0"/>
              <w:left w:val="single" w:color="000000" w:sz="4" w:space="0"/>
              <w:bottom w:val="single" w:color="000000" w:sz="4" w:space="0"/>
              <w:right w:val="single" w:color="000000" w:sz="4" w:space="0"/>
            </w:tcBorders>
            <w:shd w:val="clear" w:color="auto" w:fill="D8D8D8"/>
            <w:vAlign w:val="center"/>
          </w:tcPr>
          <w:p w14:paraId="4187D2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专业课小结</w:t>
            </w:r>
          </w:p>
        </w:tc>
        <w:tc>
          <w:tcPr>
            <w:tcW w:w="319" w:type="pct"/>
            <w:tcBorders>
              <w:top w:val="single" w:color="000000" w:sz="4" w:space="0"/>
              <w:left w:val="single" w:color="000000" w:sz="4" w:space="0"/>
              <w:bottom w:val="single" w:color="000000" w:sz="4" w:space="0"/>
              <w:right w:val="single" w:color="000000" w:sz="4" w:space="0"/>
            </w:tcBorders>
            <w:shd w:val="clear" w:color="auto" w:fill="D8D8D8"/>
            <w:vAlign w:val="top"/>
          </w:tcPr>
          <w:p w14:paraId="3679C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344" w:type="pct"/>
            <w:tcBorders>
              <w:top w:val="single" w:color="000000" w:sz="4" w:space="0"/>
              <w:left w:val="single" w:color="000000" w:sz="4" w:space="0"/>
              <w:bottom w:val="single" w:color="000000" w:sz="4" w:space="0"/>
              <w:right w:val="single" w:color="000000" w:sz="4" w:space="0"/>
            </w:tcBorders>
            <w:shd w:val="clear" w:color="auto" w:fill="D8D8D8"/>
            <w:vAlign w:val="top"/>
          </w:tcPr>
          <w:p w14:paraId="1E4B38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 </w:t>
            </w:r>
          </w:p>
        </w:tc>
        <w:tc>
          <w:tcPr>
            <w:tcW w:w="291" w:type="pct"/>
            <w:tcBorders>
              <w:top w:val="single" w:color="000000" w:sz="4" w:space="0"/>
              <w:left w:val="single" w:color="000000" w:sz="4" w:space="0"/>
              <w:bottom w:val="single" w:color="000000" w:sz="4" w:space="0"/>
              <w:right w:val="single" w:color="000000" w:sz="4" w:space="0"/>
            </w:tcBorders>
            <w:shd w:val="clear" w:color="auto" w:fill="D8D8D8"/>
            <w:vAlign w:val="top"/>
          </w:tcPr>
          <w:p w14:paraId="49505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337" w:type="pct"/>
            <w:tcBorders>
              <w:top w:val="single" w:color="000000" w:sz="4" w:space="0"/>
              <w:left w:val="single" w:color="000000" w:sz="4" w:space="0"/>
              <w:bottom w:val="single" w:color="000000" w:sz="4" w:space="0"/>
              <w:right w:val="single" w:color="000000" w:sz="4" w:space="0"/>
            </w:tcBorders>
            <w:shd w:val="clear" w:color="auto" w:fill="D8D8D8"/>
            <w:vAlign w:val="top"/>
          </w:tcPr>
          <w:p w14:paraId="4F5A9F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295" w:type="pct"/>
            <w:tcBorders>
              <w:top w:val="single" w:color="000000" w:sz="4" w:space="0"/>
              <w:left w:val="single" w:color="000000" w:sz="4" w:space="0"/>
              <w:bottom w:val="single" w:color="000000" w:sz="4" w:space="0"/>
              <w:right w:val="single" w:color="000000" w:sz="4" w:space="0"/>
            </w:tcBorders>
            <w:shd w:val="clear" w:color="auto" w:fill="D8D8D8"/>
            <w:vAlign w:val="top"/>
          </w:tcPr>
          <w:p w14:paraId="239CA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96" w:type="pct"/>
            <w:tcBorders>
              <w:top w:val="single" w:color="000000" w:sz="4" w:space="0"/>
              <w:left w:val="single" w:color="000000" w:sz="4" w:space="0"/>
              <w:bottom w:val="single" w:color="000000" w:sz="4" w:space="0"/>
              <w:right w:val="single" w:color="000000" w:sz="4" w:space="0"/>
            </w:tcBorders>
            <w:shd w:val="clear" w:color="auto" w:fill="D8D8D8"/>
            <w:vAlign w:val="top"/>
          </w:tcPr>
          <w:p w14:paraId="435FB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407" w:type="pct"/>
            <w:tcBorders>
              <w:top w:val="single" w:color="000000" w:sz="4" w:space="0"/>
              <w:left w:val="single" w:color="000000" w:sz="4" w:space="0"/>
              <w:bottom w:val="single" w:color="000000" w:sz="4" w:space="0"/>
              <w:right w:val="single" w:color="000000" w:sz="4" w:space="0"/>
            </w:tcBorders>
            <w:shd w:val="clear" w:color="auto" w:fill="D8D8D8"/>
            <w:vAlign w:val="top"/>
          </w:tcPr>
          <w:p w14:paraId="2EF804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1436 </w:t>
            </w:r>
          </w:p>
        </w:tc>
        <w:tc>
          <w:tcPr>
            <w:tcW w:w="396" w:type="pct"/>
            <w:tcBorders>
              <w:top w:val="single" w:color="000000" w:sz="4" w:space="0"/>
              <w:left w:val="single" w:color="000000" w:sz="4" w:space="0"/>
              <w:bottom w:val="single" w:color="000000" w:sz="4" w:space="0"/>
              <w:right w:val="single" w:color="000000" w:sz="4" w:space="0"/>
            </w:tcBorders>
            <w:shd w:val="clear" w:color="auto" w:fill="D8D8D8"/>
            <w:vAlign w:val="top"/>
          </w:tcPr>
          <w:p w14:paraId="10B106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190 </w:t>
            </w:r>
          </w:p>
        </w:tc>
        <w:tc>
          <w:tcPr>
            <w:tcW w:w="397" w:type="pct"/>
            <w:tcBorders>
              <w:top w:val="single" w:color="000000" w:sz="4" w:space="0"/>
              <w:left w:val="single" w:color="000000" w:sz="4" w:space="0"/>
              <w:bottom w:val="single" w:color="000000" w:sz="4" w:space="0"/>
              <w:right w:val="single" w:color="000000" w:sz="4" w:space="0"/>
            </w:tcBorders>
            <w:shd w:val="clear" w:color="auto" w:fill="D8D8D8"/>
            <w:vAlign w:val="top"/>
          </w:tcPr>
          <w:p w14:paraId="75FC43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1246 </w:t>
            </w:r>
          </w:p>
        </w:tc>
      </w:tr>
      <w:tr w14:paraId="5572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911" w:type="pct"/>
            <w:gridSpan w:val="3"/>
            <w:tcBorders>
              <w:top w:val="single" w:color="000000" w:sz="4" w:space="0"/>
              <w:left w:val="single" w:color="000000" w:sz="4" w:space="0"/>
              <w:bottom w:val="single" w:color="000000" w:sz="4" w:space="0"/>
              <w:right w:val="single" w:color="000000" w:sz="4" w:space="0"/>
            </w:tcBorders>
            <w:shd w:val="clear" w:color="auto" w:fill="A5A5A5"/>
            <w:vAlign w:val="top"/>
          </w:tcPr>
          <w:p w14:paraId="4DC66C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Style w:val="15"/>
                <w:rFonts w:hint="eastAsia" w:ascii="仿宋" w:hAnsi="仿宋" w:eastAsia="仿宋" w:cs="仿宋"/>
                <w:sz w:val="24"/>
                <w:szCs w:val="24"/>
                <w:lang w:val="en-US" w:eastAsia="zh-CN" w:bidi="ar"/>
              </w:rPr>
              <w:t>合计</w:t>
            </w:r>
          </w:p>
        </w:tc>
        <w:tc>
          <w:tcPr>
            <w:tcW w:w="319" w:type="pct"/>
            <w:tcBorders>
              <w:top w:val="single" w:color="000000" w:sz="4" w:space="0"/>
              <w:left w:val="single" w:color="000000" w:sz="4" w:space="0"/>
              <w:bottom w:val="single" w:color="000000" w:sz="4" w:space="0"/>
              <w:right w:val="single" w:color="000000" w:sz="4" w:space="0"/>
            </w:tcBorders>
            <w:shd w:val="clear" w:color="auto" w:fill="A5A5A5"/>
            <w:vAlign w:val="top"/>
          </w:tcPr>
          <w:p w14:paraId="11F437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 </w:t>
            </w:r>
          </w:p>
        </w:tc>
        <w:tc>
          <w:tcPr>
            <w:tcW w:w="344" w:type="pct"/>
            <w:tcBorders>
              <w:top w:val="single" w:color="000000" w:sz="4" w:space="0"/>
              <w:left w:val="single" w:color="000000" w:sz="4" w:space="0"/>
              <w:bottom w:val="single" w:color="000000" w:sz="4" w:space="0"/>
              <w:right w:val="single" w:color="000000" w:sz="4" w:space="0"/>
            </w:tcBorders>
            <w:shd w:val="clear" w:color="auto" w:fill="A5A5A5"/>
            <w:vAlign w:val="top"/>
          </w:tcPr>
          <w:p w14:paraId="64FBC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291" w:type="pct"/>
            <w:tcBorders>
              <w:top w:val="single" w:color="000000" w:sz="4" w:space="0"/>
              <w:left w:val="single" w:color="000000" w:sz="4" w:space="0"/>
              <w:bottom w:val="single" w:color="000000" w:sz="4" w:space="0"/>
              <w:right w:val="single" w:color="000000" w:sz="4" w:space="0"/>
            </w:tcBorders>
            <w:shd w:val="clear" w:color="auto" w:fill="A5A5A5"/>
            <w:vAlign w:val="top"/>
          </w:tcPr>
          <w:p w14:paraId="52EBFB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337" w:type="pct"/>
            <w:tcBorders>
              <w:top w:val="single" w:color="000000" w:sz="4" w:space="0"/>
              <w:left w:val="single" w:color="000000" w:sz="4" w:space="0"/>
              <w:bottom w:val="single" w:color="000000" w:sz="4" w:space="0"/>
              <w:right w:val="single" w:color="000000" w:sz="4" w:space="0"/>
            </w:tcBorders>
            <w:shd w:val="clear" w:color="auto" w:fill="A5A5A5"/>
            <w:vAlign w:val="top"/>
          </w:tcPr>
          <w:p w14:paraId="52A22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34 </w:t>
            </w:r>
          </w:p>
        </w:tc>
        <w:tc>
          <w:tcPr>
            <w:tcW w:w="295" w:type="pct"/>
            <w:tcBorders>
              <w:top w:val="single" w:color="000000" w:sz="4" w:space="0"/>
              <w:left w:val="single" w:color="000000" w:sz="4" w:space="0"/>
              <w:bottom w:val="single" w:color="000000" w:sz="4" w:space="0"/>
              <w:right w:val="single" w:color="000000" w:sz="4" w:space="0"/>
            </w:tcBorders>
            <w:shd w:val="clear" w:color="auto" w:fill="A5A5A5"/>
            <w:vAlign w:val="top"/>
          </w:tcPr>
          <w:p w14:paraId="4075F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 </w:t>
            </w:r>
          </w:p>
        </w:tc>
        <w:tc>
          <w:tcPr>
            <w:tcW w:w="296" w:type="pct"/>
            <w:tcBorders>
              <w:top w:val="single" w:color="000000" w:sz="4" w:space="0"/>
              <w:left w:val="single" w:color="000000" w:sz="4" w:space="0"/>
              <w:bottom w:val="single" w:color="000000" w:sz="4" w:space="0"/>
              <w:right w:val="single" w:color="000000" w:sz="4" w:space="0"/>
            </w:tcBorders>
            <w:shd w:val="clear" w:color="auto" w:fill="A5A5A5"/>
            <w:vAlign w:val="top"/>
          </w:tcPr>
          <w:p w14:paraId="4B1AC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 </w:t>
            </w:r>
          </w:p>
        </w:tc>
        <w:tc>
          <w:tcPr>
            <w:tcW w:w="407" w:type="pct"/>
            <w:tcBorders>
              <w:top w:val="single" w:color="000000" w:sz="4" w:space="0"/>
              <w:left w:val="single" w:color="000000" w:sz="4" w:space="0"/>
              <w:bottom w:val="single" w:color="000000" w:sz="4" w:space="0"/>
              <w:right w:val="single" w:color="000000" w:sz="4" w:space="0"/>
            </w:tcBorders>
            <w:shd w:val="clear" w:color="auto" w:fill="A5A5A5"/>
            <w:vAlign w:val="top"/>
          </w:tcPr>
          <w:p w14:paraId="659F9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3604 </w:t>
            </w:r>
          </w:p>
        </w:tc>
        <w:tc>
          <w:tcPr>
            <w:tcW w:w="396" w:type="pct"/>
            <w:tcBorders>
              <w:top w:val="single" w:color="000000" w:sz="4" w:space="0"/>
              <w:left w:val="single" w:color="000000" w:sz="4" w:space="0"/>
              <w:bottom w:val="single" w:color="000000" w:sz="4" w:space="0"/>
              <w:right w:val="single" w:color="000000" w:sz="4" w:space="0"/>
            </w:tcBorders>
            <w:shd w:val="clear" w:color="auto" w:fill="A5A5A5"/>
            <w:vAlign w:val="top"/>
          </w:tcPr>
          <w:p w14:paraId="706A13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1750 </w:t>
            </w:r>
          </w:p>
        </w:tc>
        <w:tc>
          <w:tcPr>
            <w:tcW w:w="397" w:type="pct"/>
            <w:tcBorders>
              <w:top w:val="single" w:color="000000" w:sz="4" w:space="0"/>
              <w:left w:val="single" w:color="000000" w:sz="4" w:space="0"/>
              <w:bottom w:val="single" w:color="000000" w:sz="4" w:space="0"/>
              <w:right w:val="single" w:color="000000" w:sz="4" w:space="0"/>
            </w:tcBorders>
            <w:shd w:val="clear" w:color="auto" w:fill="A5A5A5"/>
            <w:vAlign w:val="top"/>
          </w:tcPr>
          <w:p w14:paraId="485E87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1854 </w:t>
            </w:r>
          </w:p>
        </w:tc>
      </w:tr>
    </w:tbl>
    <w:p w14:paraId="758966AD">
      <w:pPr>
        <w:overflowPunct w:val="0"/>
        <w:adjustRightInd w:val="0"/>
        <w:spacing w:line="600" w:lineRule="exact"/>
        <w:ind w:firstLine="640" w:firstLineChars="200"/>
        <w:outlineLvl w:val="0"/>
        <w:rPr>
          <w:rFonts w:hint="eastAsia" w:ascii="楷体" w:hAnsi="楷体" w:eastAsia="楷体" w:cs="楷体"/>
          <w:b/>
          <w:sz w:val="32"/>
          <w:szCs w:val="32"/>
        </w:rPr>
      </w:pPr>
      <w:r>
        <w:rPr>
          <w:rFonts w:hint="eastAsia" w:ascii="楷体" w:hAnsi="楷体" w:eastAsia="楷体" w:cs="楷体"/>
          <w:b w:val="0"/>
          <w:bCs/>
          <w:sz w:val="32"/>
          <w:szCs w:val="32"/>
          <w:lang w:val="en-US" w:eastAsia="zh-CN"/>
        </w:rPr>
        <w:t>（二）高</w:t>
      </w:r>
      <w:r>
        <w:rPr>
          <w:rFonts w:hint="eastAsia" w:ascii="楷体" w:hAnsi="楷体" w:eastAsia="楷体" w:cs="楷体"/>
          <w:b w:val="0"/>
          <w:bCs/>
          <w:sz w:val="32"/>
          <w:szCs w:val="32"/>
        </w:rPr>
        <w:t>职阶段</w:t>
      </w:r>
    </w:p>
    <w:tbl>
      <w:tblPr>
        <w:tblStyle w:val="6"/>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7"/>
        <w:gridCol w:w="265"/>
        <w:gridCol w:w="7"/>
        <w:gridCol w:w="3"/>
        <w:gridCol w:w="576"/>
        <w:gridCol w:w="10"/>
        <w:gridCol w:w="162"/>
        <w:gridCol w:w="9"/>
        <w:gridCol w:w="5"/>
        <w:gridCol w:w="340"/>
        <w:gridCol w:w="1389"/>
        <w:gridCol w:w="270"/>
        <w:gridCol w:w="330"/>
        <w:gridCol w:w="94"/>
        <w:gridCol w:w="274"/>
        <w:gridCol w:w="326"/>
        <w:gridCol w:w="136"/>
        <w:gridCol w:w="394"/>
        <w:gridCol w:w="45"/>
        <w:gridCol w:w="162"/>
        <w:gridCol w:w="469"/>
        <w:gridCol w:w="117"/>
        <w:gridCol w:w="49"/>
        <w:gridCol w:w="335"/>
        <w:gridCol w:w="112"/>
        <w:gridCol w:w="265"/>
        <w:gridCol w:w="190"/>
        <w:gridCol w:w="42"/>
        <w:gridCol w:w="173"/>
        <w:gridCol w:w="194"/>
        <w:gridCol w:w="47"/>
        <w:gridCol w:w="143"/>
        <w:gridCol w:w="223"/>
        <w:gridCol w:w="89"/>
        <w:gridCol w:w="324"/>
        <w:gridCol w:w="133"/>
        <w:gridCol w:w="237"/>
        <w:gridCol w:w="49"/>
        <w:gridCol w:w="173"/>
        <w:gridCol w:w="16"/>
        <w:gridCol w:w="230"/>
        <w:gridCol w:w="18"/>
      </w:tblGrid>
      <w:tr w14:paraId="4381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60" w:hRule="atLeast"/>
        </w:trPr>
        <w:tc>
          <w:tcPr>
            <w:tcW w:w="5000" w:type="pct"/>
            <w:gridSpan w:val="42"/>
            <w:tcBorders>
              <w:top w:val="nil"/>
              <w:left w:val="nil"/>
              <w:bottom w:val="nil"/>
              <w:right w:val="nil"/>
            </w:tcBorders>
            <w:shd w:val="clear" w:color="auto" w:fill="auto"/>
            <w:vAlign w:val="top"/>
          </w:tcPr>
          <w:p w14:paraId="5D3E6B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15875</wp:posOffset>
                  </wp:positionH>
                  <wp:positionV relativeFrom="paragraph">
                    <wp:posOffset>-55880</wp:posOffset>
                  </wp:positionV>
                  <wp:extent cx="83185" cy="45085"/>
                  <wp:effectExtent l="0" t="0" r="12065" b="12065"/>
                  <wp:wrapNone/>
                  <wp:docPr id="3" name="image1"/>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5"/>
                          <a:stretch>
                            <a:fillRect/>
                          </a:stretch>
                        </pic:blipFill>
                        <pic:spPr>
                          <a:xfrm>
                            <a:off x="0" y="0"/>
                            <a:ext cx="83185" cy="45085"/>
                          </a:xfrm>
                          <a:prstGeom prst="rect">
                            <a:avLst/>
                          </a:prstGeom>
                          <a:noFill/>
                          <a:ln>
                            <a:noFill/>
                          </a:ln>
                        </pic:spPr>
                      </pic:pic>
                    </a:graphicData>
                  </a:graphic>
                </wp:anchor>
              </w:drawing>
            </w:r>
            <w:r>
              <w:rPr>
                <w:rFonts w:hint="eastAsia" w:ascii="仿宋" w:hAnsi="仿宋" w:eastAsia="仿宋" w:cs="仿宋"/>
                <w:b/>
                <w:bCs/>
                <w:i w:val="0"/>
                <w:iCs w:val="0"/>
                <w:color w:val="000000"/>
                <w:kern w:val="0"/>
                <w:sz w:val="24"/>
                <w:szCs w:val="24"/>
                <w:u w:val="none"/>
                <w:lang w:val="en-US" w:eastAsia="zh-CN" w:bidi="ar"/>
              </w:rPr>
              <w:t>教学进程安排表</w:t>
            </w:r>
          </w:p>
        </w:tc>
      </w:tr>
      <w:tr w14:paraId="2499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5" w:hRule="atLeast"/>
        </w:trPr>
        <w:tc>
          <w:tcPr>
            <w:tcW w:w="3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C79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课程类别</w:t>
            </w:r>
          </w:p>
        </w:tc>
        <w:tc>
          <w:tcPr>
            <w:tcW w:w="436"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A362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序号</w:t>
            </w:r>
          </w:p>
        </w:tc>
        <w:tc>
          <w:tcPr>
            <w:tcW w:w="1337"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D5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课程名称</w:t>
            </w:r>
          </w:p>
        </w:tc>
        <w:tc>
          <w:tcPr>
            <w:tcW w:w="39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FFC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学分</w:t>
            </w:r>
          </w:p>
        </w:tc>
        <w:tc>
          <w:tcPr>
            <w:tcW w:w="1043"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2E2A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6"/>
                <w:rFonts w:hint="eastAsia" w:ascii="仿宋" w:hAnsi="仿宋" w:eastAsia="仿宋" w:cs="仿宋"/>
                <w:sz w:val="24"/>
                <w:szCs w:val="24"/>
                <w:lang w:val="en-US" w:eastAsia="zh-CN" w:bidi="ar"/>
              </w:rPr>
            </w:pPr>
            <w:r>
              <w:rPr>
                <w:rStyle w:val="16"/>
                <w:rFonts w:hint="eastAsia" w:ascii="仿宋" w:hAnsi="仿宋" w:eastAsia="仿宋" w:cs="仿宋"/>
                <w:sz w:val="24"/>
                <w:szCs w:val="24"/>
                <w:lang w:val="en-US" w:eastAsia="zh-CN" w:bidi="ar"/>
              </w:rPr>
              <w:t>学时分配</w:t>
            </w:r>
          </w:p>
          <w:p w14:paraId="23B836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(课时)</w:t>
            </w:r>
          </w:p>
        </w:tc>
        <w:tc>
          <w:tcPr>
            <w:tcW w:w="145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D3551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学期序号/上课周数/周学时数</w:t>
            </w:r>
          </w:p>
        </w:tc>
      </w:tr>
      <w:tr w14:paraId="498E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0" w:hRule="atLeast"/>
        </w:trPr>
        <w:tc>
          <w:tcPr>
            <w:tcW w:w="3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4DB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8EE1F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337"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3E1B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1CA8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EF7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总学时</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8FB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理论</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3BA5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实践</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C2C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711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5E6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3E6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E9DA1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A7C9B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14F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30"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D2250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A18DDE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239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6F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毛泽东思想和中国特色社会主</w:t>
            </w:r>
            <w:r>
              <w:rPr>
                <w:rStyle w:val="16"/>
                <w:rFonts w:hint="eastAsia" w:ascii="仿宋" w:hAnsi="仿宋" w:eastAsia="仿宋" w:cs="仿宋"/>
                <w:sz w:val="24"/>
                <w:szCs w:val="24"/>
                <w:lang w:val="en-US" w:eastAsia="zh-CN" w:bidi="ar"/>
              </w:rPr>
              <w:br w:type="textWrapping"/>
            </w:r>
            <w:r>
              <w:rPr>
                <w:rStyle w:val="16"/>
                <w:rFonts w:hint="eastAsia" w:ascii="仿宋" w:hAnsi="仿宋" w:eastAsia="仿宋" w:cs="仿宋"/>
                <w:sz w:val="24"/>
                <w:szCs w:val="24"/>
                <w:lang w:val="en-US" w:eastAsia="zh-CN" w:bidi="ar"/>
              </w:rPr>
              <w:t>义理论体系概论</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EC4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07B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BF0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6B4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5B864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1B91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E2F2C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44D2C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587DD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DD29A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5C28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7"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83F21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5D651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3843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B0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习近平新时代中国特色社会主义思想概论</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B04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18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5A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AB7F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996A8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505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DB828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12D53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AB7F21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6821B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60A4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23022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C0EC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5128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B77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思想道德与法治</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56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D96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4EB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4658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6A1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D718A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8AEB8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CD16AB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5C13D4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7A5CA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4477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85619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1ED56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5534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425B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形势与政策</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DB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C5A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23A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C43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104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B67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每学期讲座8学时</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CA8B98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3BB0F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495B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0CE7D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EC83B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786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7A5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体 育</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E8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58A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10CF7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F35F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95C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07A3C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594CE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256C0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29D4C5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CFF1A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4313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4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A2FA5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D832D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58BC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903A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职业规划与就业指导</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989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02F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9B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38B9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F9344C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52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9339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第二学期职业规划12学时，</w:t>
            </w:r>
            <w:r>
              <w:rPr>
                <w:rStyle w:val="16"/>
                <w:rFonts w:hint="eastAsia" w:ascii="仿宋" w:hAnsi="仿宋" w:eastAsia="仿宋" w:cs="仿宋"/>
                <w:sz w:val="24"/>
                <w:szCs w:val="24"/>
                <w:lang w:val="en-US" w:eastAsia="zh-CN" w:bidi="ar"/>
              </w:rPr>
              <w:br w:type="textWrapping"/>
            </w:r>
            <w:r>
              <w:rPr>
                <w:rStyle w:val="16"/>
                <w:rFonts w:hint="eastAsia" w:ascii="仿宋" w:hAnsi="仿宋" w:eastAsia="仿宋" w:cs="仿宋"/>
                <w:sz w:val="24"/>
                <w:szCs w:val="24"/>
                <w:lang w:val="en-US" w:eastAsia="zh-CN" w:bidi="ar"/>
              </w:rPr>
              <w:t>第三学期就业指导12学时</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0B78A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57057E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C2FA3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6F4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EA268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FC252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4E1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28B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入学教育及军训</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2B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2DE1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AAA9E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E42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2 w</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82BD3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CD941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ACD8D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B3B9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5CA28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ABD41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660E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2F65B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86A4A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2D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A4A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军事理论</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E4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4490B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997F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A5A61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57" w:type="pct"/>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18D43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网络课程</w:t>
            </w:r>
          </w:p>
        </w:tc>
      </w:tr>
      <w:tr w14:paraId="2393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4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84EF5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34C2C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3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1E7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 </w:t>
            </w:r>
          </w:p>
        </w:tc>
        <w:tc>
          <w:tcPr>
            <w:tcW w:w="133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B5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劳动教育</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403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一</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49E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00A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一</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303A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1w</w:t>
            </w:r>
          </w:p>
        </w:tc>
        <w:tc>
          <w:tcPr>
            <w:tcW w:w="1045"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F49C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具体由学生处制定实</w:t>
            </w:r>
            <w:r>
              <w:rPr>
                <w:rStyle w:val="16"/>
                <w:rFonts w:hint="eastAsia" w:ascii="仿宋" w:hAnsi="仿宋" w:eastAsia="仿宋" w:cs="仿宋"/>
                <w:sz w:val="24"/>
                <w:szCs w:val="24"/>
                <w:lang w:val="en-US" w:eastAsia="zh-CN" w:bidi="ar"/>
              </w:rPr>
              <w:br w:type="textWrapping"/>
            </w:r>
            <w:r>
              <w:rPr>
                <w:rStyle w:val="16"/>
                <w:rFonts w:hint="eastAsia" w:ascii="仿宋" w:hAnsi="仿宋" w:eastAsia="仿宋" w:cs="仿宋"/>
                <w:sz w:val="24"/>
                <w:szCs w:val="24"/>
                <w:lang w:val="en-US" w:eastAsia="zh-CN" w:bidi="ar"/>
              </w:rPr>
              <w:t>施方案</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A7F4F4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33EF8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6A91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5"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4C1A7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562E2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774"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C869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6"/>
                <w:rFonts w:hint="eastAsia" w:ascii="仿宋" w:hAnsi="仿宋" w:eastAsia="仿宋" w:cs="仿宋"/>
                <w:sz w:val="24"/>
                <w:szCs w:val="24"/>
                <w:lang w:val="en-US" w:eastAsia="zh-CN" w:bidi="ar"/>
              </w:rPr>
              <w:t>小计</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895B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15.5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7F07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274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7ED53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112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10640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162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EC8705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30AF3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385E1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20937A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DF222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529AC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06BC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5" w:hRule="atLeast"/>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F1047A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7590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专业课程</w:t>
            </w: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AB3E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7F91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※分析化学</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51A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7D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347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77FA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49F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6C45D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8FEBD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00DCAD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7C8D45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3618F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7BCF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F19B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C8A43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DD1E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C50E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※有机化学</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31D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313A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4DA34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F580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D2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D1ABA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88513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B003F5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F11A6E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5A100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05C2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8F95F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5476F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7EA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767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※制药单元操作技术</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1C1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C0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11B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D601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DA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2BEFB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19134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E95022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D83F3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7A1BE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453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747E3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F0188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2CD9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0447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※★药事管理与GMP</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A14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DA1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B8E4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32AB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C1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AFBA7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B496B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459F4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2659E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F52FB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90F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D3943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757F7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E34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4F26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※医药健康与安全</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71E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3D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C89A0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BC89B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09657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5A20E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166A8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6DFB55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5F139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60731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63B9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0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88DB6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95827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E1C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F74B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※★生理药理</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818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D67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64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38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52B1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3A6FB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82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127EC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8653D2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B5FBDC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D057D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7432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24BF9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493B0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B1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310A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※★药物化学</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FDC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9DB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64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7AA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1380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4D726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92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F44B3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D04B0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1FC30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4726E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0097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9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B5917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6A56E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DD8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730D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※★药物制剂技术与设备</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63B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3FC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64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47A6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324E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DFABD4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E837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2832B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2B71F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D13085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030493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01E8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23C92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3816D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E8B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D1C2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※★药物分析检验技术</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B08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080E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64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AC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AB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762B6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51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4604E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940887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55A11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8494B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2F37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B7B64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A90CF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325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D979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认识实习</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AA329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BEC08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C48F8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103D85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54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EF9DC3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r>
              <w:rPr>
                <w:rStyle w:val="17"/>
                <w:rFonts w:hint="eastAsia" w:ascii="仿宋" w:hAnsi="仿宋" w:eastAsia="仿宋" w:cs="仿宋"/>
                <w:color w:val="000000"/>
                <w:kern w:val="2"/>
                <w:sz w:val="24"/>
                <w:szCs w:val="24"/>
                <w:lang w:val="en-US" w:eastAsia="zh-CN" w:bidi="ar"/>
              </w:rPr>
              <w:t>●</w:t>
            </w: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CA786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0EE54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385766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64BEE9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D9C96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5DD2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79F8B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366FD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1FAB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A4C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生产实习</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9D885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6A7C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84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08F0F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3BBB3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84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B4734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8D93E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r>
              <w:rPr>
                <w:rStyle w:val="17"/>
                <w:rFonts w:hint="eastAsia" w:ascii="仿宋" w:hAnsi="仿宋" w:eastAsia="仿宋" w:cs="仿宋"/>
                <w:color w:val="000000"/>
                <w:kern w:val="2"/>
                <w:sz w:val="24"/>
                <w:szCs w:val="24"/>
                <w:lang w:val="en-US" w:eastAsia="zh-CN" w:bidi="ar"/>
              </w:rPr>
              <w:t>●</w:t>
            </w: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DC5AB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5A52AF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E6033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332ED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526C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9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EEF40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CE8DF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C5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8C1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毕业设计(论文)</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4E5F7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0CEB8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25213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4FB8F5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100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E4D41E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7AEAE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60C2F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r>
              <w:rPr>
                <w:rStyle w:val="17"/>
                <w:rFonts w:hint="eastAsia" w:ascii="仿宋" w:hAnsi="仿宋" w:eastAsia="仿宋" w:cs="仿宋"/>
                <w:color w:val="000000"/>
                <w:kern w:val="2"/>
                <w:sz w:val="24"/>
                <w:szCs w:val="24"/>
                <w:lang w:val="en-US" w:eastAsia="zh-CN" w:bidi="ar"/>
              </w:rPr>
              <w:t>●</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F8D63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6D39D6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3AA24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DAA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0"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65AD2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4CD5F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841A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FEE8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岗位实习-1</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9EAF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FB135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B5706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5C04D8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160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7E50D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1F671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BFAB6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Style w:val="17"/>
                <w:rFonts w:hint="eastAsia" w:ascii="仿宋" w:hAnsi="仿宋" w:eastAsia="仿宋" w:cs="仿宋"/>
                <w:color w:val="000000"/>
                <w:kern w:val="2"/>
                <w:sz w:val="24"/>
                <w:szCs w:val="24"/>
                <w:lang w:val="en-US" w:eastAsia="zh-CN" w:bidi="ar"/>
              </w:rPr>
              <w:t>●</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1F8E8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B8D002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1908F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2E85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95" w:hRule="atLeast"/>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DE042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F160E3">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BF8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134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D0C3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sz w:val="24"/>
                <w:szCs w:val="24"/>
                <w:lang w:val="en-US" w:eastAsia="zh-CN" w:bidi="ar"/>
              </w:rPr>
              <w:t>岗位实习-2</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2780D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 </w:t>
            </w:r>
          </w:p>
        </w:tc>
        <w:tc>
          <w:tcPr>
            <w:tcW w:w="33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5E814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320 </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FC663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 </w:t>
            </w:r>
          </w:p>
        </w:tc>
        <w:tc>
          <w:tcPr>
            <w:tcW w:w="350"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669CB4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320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A64758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5B362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6725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7800D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r>
              <w:rPr>
                <w:rStyle w:val="17"/>
                <w:rFonts w:hint="eastAsia" w:ascii="仿宋" w:hAnsi="仿宋" w:eastAsia="仿宋" w:cs="仿宋"/>
                <w:color w:val="000000"/>
                <w:kern w:val="2"/>
                <w:sz w:val="24"/>
                <w:szCs w:val="24"/>
                <w:lang w:val="en-US" w:eastAsia="zh-CN" w:bidi="ar"/>
              </w:rPr>
              <w:t>●</w:t>
            </w:r>
          </w:p>
        </w:tc>
        <w:tc>
          <w:tcPr>
            <w:tcW w:w="164"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95F2EA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4C416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303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5" w:hRule="atLeast"/>
        </w:trPr>
        <w:tc>
          <w:tcPr>
            <w:tcW w:w="664"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B47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课程类别</w:t>
            </w:r>
          </w:p>
        </w:tc>
        <w:tc>
          <w:tcPr>
            <w:tcW w:w="295"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A82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5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AE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课程名称</w:t>
            </w: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3F1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学分</w:t>
            </w:r>
          </w:p>
        </w:tc>
        <w:tc>
          <w:tcPr>
            <w:tcW w:w="151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12D55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学时分配(课时)</w:t>
            </w: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DFF69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学期序号/上课周数/周学时数</w:t>
            </w:r>
          </w:p>
        </w:tc>
      </w:tr>
      <w:tr w14:paraId="38AC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4"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A90A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31E9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95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CC8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95E9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3CB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总学时</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B889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理论</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C469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实践</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547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7B7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9D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8D8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1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48B5F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39"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2F0574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446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3CB1D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3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E3701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4A5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EB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63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74B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1182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E16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276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B6EF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906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FDA9CD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30F09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5F021B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2F9D0E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E6A91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39"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2112A0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59E6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911" w:type="pct"/>
            <w:gridSpan w:val="12"/>
            <w:tcBorders>
              <w:top w:val="single" w:color="000000" w:sz="4" w:space="0"/>
              <w:left w:val="single" w:color="000000" w:sz="4" w:space="0"/>
              <w:bottom w:val="single" w:color="000000" w:sz="4" w:space="0"/>
              <w:right w:val="single" w:color="000000" w:sz="4" w:space="0"/>
            </w:tcBorders>
            <w:shd w:val="clear" w:color="auto" w:fill="D7D7D7"/>
            <w:vAlign w:val="center"/>
          </w:tcPr>
          <w:p w14:paraId="619D07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D7D7D7"/>
            <w:vAlign w:val="bottom"/>
          </w:tcPr>
          <w:p w14:paraId="6350BD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78.5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D7D7D7"/>
            <w:vAlign w:val="bottom"/>
          </w:tcPr>
          <w:p w14:paraId="4256F7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1456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D7D7D7"/>
            <w:vAlign w:val="top"/>
          </w:tcPr>
          <w:p w14:paraId="564191B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D7D7D7"/>
            <w:vAlign w:val="top"/>
          </w:tcPr>
          <w:p w14:paraId="4E50EF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D7D7D7"/>
            <w:vAlign w:val="top"/>
          </w:tcPr>
          <w:p w14:paraId="6EACA3B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D7D7D7"/>
            <w:vAlign w:val="top"/>
          </w:tcPr>
          <w:p w14:paraId="1F49F6D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D7D7D7"/>
            <w:vAlign w:val="top"/>
          </w:tcPr>
          <w:p w14:paraId="795E48B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D7D7D7"/>
            <w:vAlign w:val="top"/>
          </w:tcPr>
          <w:p w14:paraId="3BD13A3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36" w:type="pct"/>
            <w:gridSpan w:val="3"/>
            <w:tcBorders>
              <w:top w:val="single" w:color="000000" w:sz="4" w:space="0"/>
              <w:left w:val="single" w:color="000000" w:sz="4" w:space="0"/>
              <w:bottom w:val="single" w:color="000000" w:sz="4" w:space="0"/>
              <w:right w:val="single" w:color="000000" w:sz="4" w:space="0"/>
            </w:tcBorders>
            <w:shd w:val="clear" w:color="auto" w:fill="D7D7D7"/>
            <w:vAlign w:val="top"/>
          </w:tcPr>
          <w:p w14:paraId="59C93C3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39" w:type="pct"/>
            <w:gridSpan w:val="2"/>
            <w:tcBorders>
              <w:top w:val="single" w:color="000000" w:sz="4" w:space="0"/>
              <w:left w:val="single" w:color="000000" w:sz="4" w:space="0"/>
              <w:bottom w:val="single" w:color="000000" w:sz="4" w:space="0"/>
              <w:right w:val="single" w:color="000000" w:sz="4" w:space="0"/>
            </w:tcBorders>
            <w:shd w:val="clear" w:color="auto" w:fill="D7D7D7"/>
            <w:vAlign w:val="top"/>
          </w:tcPr>
          <w:p w14:paraId="6E8F2D9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70AB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0" w:hRule="atLeast"/>
        </w:trPr>
        <w:tc>
          <w:tcPr>
            <w:tcW w:w="32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4BEF7329">
            <w:pPr>
              <w:keepNext w:val="0"/>
              <w:keepLines w:val="0"/>
              <w:pageBreakBefore w:val="0"/>
              <w:widowControl/>
              <w:suppressLineNumbers w:val="0"/>
              <w:kinsoku/>
              <w:wordWrap/>
              <w:overflowPunct/>
              <w:topLinePunct w:val="0"/>
              <w:autoSpaceDE/>
              <w:autoSpaceDN/>
              <w:bidi w:val="0"/>
              <w:adjustRightInd/>
              <w:snapToGrid/>
              <w:spacing w:line="300" w:lineRule="exact"/>
              <w:ind w:firstLineChars="150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选修课程</w:t>
            </w:r>
          </w:p>
        </w:tc>
        <w:tc>
          <w:tcPr>
            <w:tcW w:w="3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BC69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公共限选课程</w:t>
            </w: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7B2C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7AF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马克思主义理论类课程</w:t>
            </w: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5D437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588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从5类课程中选择3类，每类课程限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选1门，其中美育类课程必选。</w:t>
            </w: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2359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在2-4学期开设</w:t>
            </w:r>
          </w:p>
        </w:tc>
      </w:tr>
      <w:tr w14:paraId="3464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9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6C77D7F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B1A4F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8C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F3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党史国史</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FBE8F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84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F717C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在2-4学期开设</w:t>
            </w:r>
          </w:p>
        </w:tc>
      </w:tr>
      <w:tr w14:paraId="2DD7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9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70E4B0B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CC0CF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6D87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D66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健康教育</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B73F8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536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B9E23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在2-4学期开设</w:t>
            </w:r>
          </w:p>
        </w:tc>
      </w:tr>
      <w:tr w14:paraId="133A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9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28AF143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2FB3AB">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96A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C9C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美育课程</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465C4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3FF7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A76F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在2-4学期开设</w:t>
            </w:r>
          </w:p>
        </w:tc>
      </w:tr>
      <w:tr w14:paraId="45AE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3DEB66D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11ED0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9C64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BEE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职业素养</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C4676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648A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FF46C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在2-4学期开设</w:t>
            </w:r>
          </w:p>
        </w:tc>
      </w:tr>
      <w:tr w14:paraId="4ACC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5E8491C6">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7269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公共选修课程</w:t>
            </w: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E7A0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DC8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国家安全</w:t>
            </w:r>
          </w:p>
        </w:tc>
        <w:tc>
          <w:tcPr>
            <w:tcW w:w="40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1DC94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6FD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从第2学期开始实施，学生应至少选修2门。</w:t>
            </w: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F4F01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第2-4学期开设</w:t>
            </w:r>
          </w:p>
        </w:tc>
      </w:tr>
      <w:tr w14:paraId="1A9AB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2A36B1E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8253C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AC64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E84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中国传统文化</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FA4FD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7145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7CB01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第2-4学期开设</w:t>
            </w:r>
          </w:p>
        </w:tc>
      </w:tr>
      <w:tr w14:paraId="6CC3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4B4F22B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1021D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C6F6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B02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人文与科学素养</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2222D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A16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EA5B9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第2-4学期开设</w:t>
            </w:r>
          </w:p>
        </w:tc>
      </w:tr>
      <w:tr w14:paraId="5D4B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3A7DAD4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43661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529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0D8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节能与环保</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3C129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BAE0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67F9C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第2-4学期开设</w:t>
            </w:r>
          </w:p>
        </w:tc>
      </w:tr>
      <w:tr w14:paraId="7936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0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58307B3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FAF81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E6F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697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安全与健康</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B63C0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42C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96D8E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第2-4学期开设</w:t>
            </w:r>
          </w:p>
        </w:tc>
      </w:tr>
      <w:tr w14:paraId="787D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1866EB5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E1BB3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1D84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15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创新创业</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B056F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EE2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32A57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第2-4学期开设</w:t>
            </w:r>
          </w:p>
        </w:tc>
      </w:tr>
      <w:tr w14:paraId="228A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72B9F42E">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9C9CA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0FC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DFD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金融与信息技术</w:t>
            </w:r>
          </w:p>
        </w:tc>
        <w:tc>
          <w:tcPr>
            <w:tcW w:w="40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23A33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012B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0ED23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第2-4学期开设</w:t>
            </w:r>
          </w:p>
        </w:tc>
      </w:tr>
      <w:tr w14:paraId="5453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90"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196D5A9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AD23C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A4D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A00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B573F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1CCD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5EFE7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第1-2学期开设</w:t>
            </w:r>
          </w:p>
        </w:tc>
      </w:tr>
      <w:tr w14:paraId="214F1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05" w:hRule="atLeast"/>
        </w:trPr>
        <w:tc>
          <w:tcPr>
            <w:tcW w:w="3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top"/>
          </w:tcPr>
          <w:p w14:paraId="6416E4A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2CD1F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29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41A5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9CF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58DD99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515" w:type="pct"/>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54CF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172"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B509A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第1-2学期开设</w:t>
            </w:r>
          </w:p>
        </w:tc>
      </w:tr>
      <w:tr w14:paraId="432C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545" w:hRule="atLeast"/>
        </w:trPr>
        <w:tc>
          <w:tcPr>
            <w:tcW w:w="322" w:type="pct"/>
            <w:gridSpan w:val="2"/>
            <w:vMerge w:val="restart"/>
            <w:tcBorders>
              <w:top w:val="single" w:color="000000" w:sz="4" w:space="0"/>
              <w:left w:val="single" w:color="000000" w:sz="4" w:space="0"/>
              <w:right w:val="single" w:color="000000" w:sz="4" w:space="0"/>
            </w:tcBorders>
            <w:shd w:val="clear" w:color="auto" w:fill="auto"/>
            <w:textDirection w:val="tbRlV"/>
            <w:vAlign w:val="center"/>
          </w:tcPr>
          <w:p w14:paraId="4F286B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19AC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专业限选课程</w:t>
            </w: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FF3F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4C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◆□药物制剂证书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模块</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7D4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4E6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64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062E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BCB9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24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E93E2E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43FF1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64C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E22F34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72ACD0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38B487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04338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8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759326A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C2822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82A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70A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药学综合知识与技能</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E130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BC887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   24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2C4B4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16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659477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D3DF3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61CC9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A91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0633D7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26D6CC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68AAE4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0E1E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9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46A044D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06395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987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D5F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医药商品知识</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E58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1.5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923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24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E04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16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F9F2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C5715E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A1DA7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B8D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9D475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B4394B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9C461E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7700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8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35AFC61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C95F6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913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0B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医药市场营销</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04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53B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32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D7B2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4A7E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9B0A97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7C378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689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226849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167BB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566FCE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5761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9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7679F67C">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3111BA">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403D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58D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科技文献写作</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7D8D3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B704F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16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733D06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09F61F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7AC7F1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10EF4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E1F74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59B06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8816A3C">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BAC69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7FF9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8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20D3F9E4">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161F95">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003F5B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936EB4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B6FFB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6D993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76CB7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866A7F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F928FC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E6624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47534D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5F37715">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C351F6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4EA3C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34883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9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1EB7B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EB5E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专业拓展课程</w:t>
            </w: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85D3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584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保健品基础</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263C3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1532D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32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048A37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58C11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B78C40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98DCCD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BED347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A3E74E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1AE15B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7427CB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A72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38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5E94F43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0FDB7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C44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2E0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药品微生物检验技术</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FA2E5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07C34D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32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bottom"/>
          </w:tcPr>
          <w:p w14:paraId="2B578C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0A9D0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50CC17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7561F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81FF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BAF060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8E9EA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4B2E39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545C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9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7DC21031">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D6138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555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04C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国际商务英语</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83C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7A5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32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E342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381A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C17692D">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2C94C4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7A0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3B26C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9E3D0E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74751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6B34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pct"/>
          <w:trHeight w:val="400" w:hRule="atLeast"/>
        </w:trPr>
        <w:tc>
          <w:tcPr>
            <w:tcW w:w="322" w:type="pct"/>
            <w:gridSpan w:val="2"/>
            <w:vMerge w:val="continue"/>
            <w:tcBorders>
              <w:left w:val="single" w:color="000000" w:sz="4" w:space="0"/>
              <w:right w:val="single" w:color="000000" w:sz="4" w:space="0"/>
            </w:tcBorders>
            <w:shd w:val="clear" w:color="auto" w:fill="auto"/>
            <w:textDirection w:val="tbRlV"/>
            <w:vAlign w:val="center"/>
          </w:tcPr>
          <w:p w14:paraId="369D0E5F">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3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645B6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BBE5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CB2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新药研发</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A7C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727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32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970F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20 </w:t>
            </w: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F129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9D46C7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E3A49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AA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A86949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9F46E1">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917E93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499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pct"/>
          <w:trHeight w:val="375" w:hRule="atLeast"/>
        </w:trPr>
        <w:tc>
          <w:tcPr>
            <w:tcW w:w="322" w:type="pct"/>
            <w:gridSpan w:val="2"/>
            <w:vMerge w:val="continue"/>
            <w:tcBorders>
              <w:left w:val="single" w:color="000000" w:sz="4" w:space="0"/>
              <w:bottom w:val="single" w:color="000000" w:sz="4" w:space="0"/>
              <w:right w:val="single" w:color="000000" w:sz="4" w:space="0"/>
            </w:tcBorders>
            <w:shd w:val="clear" w:color="auto" w:fill="auto"/>
            <w:vAlign w:val="center"/>
          </w:tcPr>
          <w:p w14:paraId="6A4498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7CBF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194F46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12 </w:t>
            </w:r>
          </w:p>
        </w:tc>
        <w:tc>
          <w:tcPr>
            <w:tcW w:w="491"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0C1E4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192 </w:t>
            </w:r>
          </w:p>
        </w:tc>
        <w:tc>
          <w:tcPr>
            <w:tcW w:w="45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EED12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568"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9CA73F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ECB2210">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58F4E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66DEEF">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8535D4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27"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F77849">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41"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A4C9B1B">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6A34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05" w:hRule="atLeast"/>
        </w:trPr>
        <w:tc>
          <w:tcPr>
            <w:tcW w:w="3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24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课程类别</w:t>
            </w:r>
          </w:p>
        </w:tc>
        <w:tc>
          <w:tcPr>
            <w:tcW w:w="439" w:type="pct"/>
            <w:gridSpan w:val="6"/>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A99F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8C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课程名称</w:t>
            </w:r>
          </w:p>
        </w:tc>
        <w:tc>
          <w:tcPr>
            <w:tcW w:w="39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D92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学分</w:t>
            </w:r>
          </w:p>
        </w:tc>
        <w:tc>
          <w:tcPr>
            <w:tcW w:w="113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FA9B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学时分配(课时)</w:t>
            </w:r>
          </w:p>
        </w:tc>
        <w:tc>
          <w:tcPr>
            <w:tcW w:w="1713"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708747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学期序号/上课周数/周学时数</w:t>
            </w:r>
          </w:p>
        </w:tc>
      </w:tr>
      <w:tr w14:paraId="0D9E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0" w:hRule="atLeast"/>
        </w:trPr>
        <w:tc>
          <w:tcPr>
            <w:tcW w:w="3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3E39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39"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FE9BD0">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9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1DA49">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3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71D08">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DC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总学时</w:t>
            </w:r>
          </w:p>
        </w:tc>
        <w:tc>
          <w:tcPr>
            <w:tcW w:w="3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51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理论</w:t>
            </w: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68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实践</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0D0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 </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11D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7D8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BB4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 </w:t>
            </w:r>
          </w:p>
        </w:tc>
        <w:tc>
          <w:tcPr>
            <w:tcW w:w="712"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932F614">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39"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476B7D8">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1BA5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0" w:hRule="atLeast"/>
        </w:trPr>
        <w:tc>
          <w:tcPr>
            <w:tcW w:w="17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32F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大学生素质拓展</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9B0F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2844" w:type="pct"/>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095AD5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大学生素质拓展实施方案</w:t>
            </w:r>
          </w:p>
        </w:tc>
      </w:tr>
      <w:tr w14:paraId="1C32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90" w:hRule="atLeast"/>
        </w:trPr>
        <w:tc>
          <w:tcPr>
            <w:tcW w:w="175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6D7E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总计</w:t>
            </w:r>
          </w:p>
        </w:tc>
        <w:tc>
          <w:tcPr>
            <w:tcW w:w="398"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6FD1F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96.5 </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093EC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1648 </w:t>
            </w:r>
          </w:p>
        </w:tc>
        <w:tc>
          <w:tcPr>
            <w:tcW w:w="34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3E45A7">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EBAE0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top"/>
          </w:tcPr>
          <w:p w14:paraId="3AF34A2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3BEDCCA">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6903A6">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22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2CD173">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712"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003FC382">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c>
          <w:tcPr>
            <w:tcW w:w="139"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436D52E">
            <w:pPr>
              <w:keepNext w:val="0"/>
              <w:keepLines w:val="0"/>
              <w:pageBreakBefore w:val="0"/>
              <w:kinsoku/>
              <w:wordWrap/>
              <w:overflowPunct/>
              <w:topLinePunct w:val="0"/>
              <w:autoSpaceDE/>
              <w:autoSpaceDN/>
              <w:bidi w:val="0"/>
              <w:adjustRightInd/>
              <w:snapToGrid/>
              <w:spacing w:line="300" w:lineRule="exact"/>
              <w:jc w:val="left"/>
              <w:rPr>
                <w:rFonts w:hint="eastAsia" w:ascii="仿宋" w:hAnsi="仿宋" w:eastAsia="仿宋" w:cs="仿宋"/>
                <w:i w:val="0"/>
                <w:iCs w:val="0"/>
                <w:color w:val="000000"/>
                <w:sz w:val="24"/>
                <w:szCs w:val="24"/>
                <w:u w:val="none"/>
              </w:rPr>
            </w:pPr>
          </w:p>
        </w:tc>
      </w:tr>
      <w:tr w14:paraId="685B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5000" w:type="pct"/>
            <w:gridSpan w:val="42"/>
            <w:tcBorders>
              <w:top w:val="single" w:color="000000" w:sz="4" w:space="0"/>
              <w:left w:val="single" w:color="000000" w:sz="4" w:space="0"/>
              <w:bottom w:val="single" w:color="000000" w:sz="4" w:space="0"/>
              <w:right w:val="single" w:color="000000" w:sz="4" w:space="0"/>
            </w:tcBorders>
            <w:shd w:val="clear" w:color="auto" w:fill="auto"/>
            <w:vAlign w:val="center"/>
          </w:tcPr>
          <w:p w14:paraId="5D4D7C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总学分=96.5； 素质拓展学分=6；</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总学时=1648,其中：实践学时=862；实践学时比例=57.62%</w:t>
            </w:r>
          </w:p>
        </w:tc>
      </w:tr>
      <w:tr w14:paraId="456E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080" w:hRule="atLeast"/>
        </w:trPr>
        <w:tc>
          <w:tcPr>
            <w:tcW w:w="5000" w:type="pct"/>
            <w:gridSpan w:val="42"/>
            <w:tcBorders>
              <w:top w:val="nil"/>
              <w:left w:val="nil"/>
              <w:bottom w:val="nil"/>
              <w:right w:val="nil"/>
            </w:tcBorders>
            <w:shd w:val="clear" w:color="auto" w:fill="auto"/>
            <w:vAlign w:val="top"/>
          </w:tcPr>
          <w:p w14:paraId="132413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仿宋" w:hAnsi="仿宋" w:eastAsia="仿宋" w:cs="仿宋"/>
                <w:i w:val="0"/>
                <w:iCs w:val="0"/>
                <w:color w:val="000000"/>
                <w:sz w:val="24"/>
                <w:szCs w:val="24"/>
                <w:u w:val="none"/>
              </w:rPr>
            </w:pPr>
            <w:r>
              <w:rPr>
                <w:rStyle w:val="18"/>
                <w:rFonts w:hint="eastAsia" w:ascii="仿宋" w:hAnsi="仿宋" w:eastAsia="仿宋" w:cs="仿宋"/>
                <w:sz w:val="24"/>
                <w:szCs w:val="24"/>
                <w:lang w:val="en-US" w:eastAsia="zh-CN" w:bidi="ar"/>
              </w:rPr>
              <w:t xml:space="preserve">    说明：(1)表中 </w:t>
            </w:r>
            <w:r>
              <w:rPr>
                <w:rStyle w:val="19"/>
                <w:rFonts w:hint="eastAsia" w:ascii="仿宋" w:hAnsi="仿宋" w:eastAsia="仿宋" w:cs="仿宋"/>
                <w:sz w:val="24"/>
                <w:szCs w:val="24"/>
                <w:lang w:val="en-US" w:eastAsia="zh-CN" w:bidi="ar"/>
              </w:rPr>
              <w:t xml:space="preserve">“w”  </w:t>
            </w:r>
            <w:r>
              <w:rPr>
                <w:rStyle w:val="18"/>
                <w:rFonts w:hint="eastAsia" w:ascii="仿宋" w:hAnsi="仿宋" w:eastAsia="仿宋" w:cs="仿宋"/>
                <w:sz w:val="24"/>
                <w:szCs w:val="24"/>
                <w:lang w:val="en-US" w:eastAsia="zh-CN" w:bidi="ar"/>
              </w:rPr>
              <w:t>字母代表一个整周教学环节，按28学时计；标有“◆”课程为创新创业类课程，标有“★”课程为专业核心课程，标有“※”为必须修学、学分不可替换的课程，标有“口”表示1+</w:t>
            </w:r>
            <w:r>
              <w:rPr>
                <w:rStyle w:val="19"/>
                <w:rFonts w:hint="eastAsia" w:ascii="仿宋" w:hAnsi="仿宋" w:eastAsia="仿宋" w:cs="仿宋"/>
                <w:sz w:val="24"/>
                <w:szCs w:val="24"/>
                <w:lang w:val="en-US" w:eastAsia="zh-CN" w:bidi="ar"/>
              </w:rPr>
              <w:t xml:space="preserve">x </w:t>
            </w:r>
            <w:r>
              <w:rPr>
                <w:rStyle w:val="18"/>
                <w:rFonts w:hint="eastAsia" w:ascii="仿宋" w:hAnsi="仿宋" w:eastAsia="仿宋" w:cs="仿宋"/>
                <w:sz w:val="24"/>
                <w:szCs w:val="24"/>
                <w:lang w:val="en-US" w:eastAsia="zh-CN" w:bidi="ar"/>
              </w:rPr>
              <w:t>证书等融通课程，标有“●”表示专项实践所在学期。</w:t>
            </w:r>
          </w:p>
        </w:tc>
      </w:tr>
    </w:tbl>
    <w:p w14:paraId="127C98AA">
      <w:pPr>
        <w:overflowPunct w:val="0"/>
        <w:adjustRightInd w:val="0"/>
        <w:spacing w:line="560" w:lineRule="exact"/>
        <w:outlineLvl w:val="0"/>
        <w:rPr>
          <w:rFonts w:ascii="黑体" w:hAnsi="黑体" w:eastAsia="黑体"/>
          <w:color w:val="auto"/>
          <w:sz w:val="32"/>
          <w:szCs w:val="32"/>
        </w:rPr>
      </w:pPr>
      <w:r>
        <w:rPr>
          <w:rFonts w:hint="eastAsia" w:ascii="黑体" w:hAnsi="黑体" w:eastAsia="黑体"/>
          <w:color w:val="auto"/>
          <w:sz w:val="32"/>
          <w:szCs w:val="32"/>
          <w:lang w:val="en-US" w:eastAsia="zh-CN"/>
        </w:rPr>
        <w:t>十</w:t>
      </w:r>
      <w:r>
        <w:rPr>
          <w:rFonts w:hint="eastAsia" w:ascii="黑体" w:hAnsi="黑体" w:eastAsia="黑体"/>
          <w:color w:val="auto"/>
          <w:sz w:val="32"/>
          <w:szCs w:val="32"/>
        </w:rPr>
        <w:t>、</w:t>
      </w:r>
      <w:r>
        <w:rPr>
          <w:rFonts w:ascii="黑体" w:hAnsi="黑体" w:eastAsia="黑体"/>
          <w:color w:val="auto"/>
          <w:sz w:val="32"/>
          <w:szCs w:val="32"/>
        </w:rPr>
        <w:t>师资队伍</w:t>
      </w:r>
    </w:p>
    <w:p w14:paraId="2DD647E8">
      <w:pPr>
        <w:spacing w:line="56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中职阶段</w:t>
      </w:r>
      <w:r>
        <w:rPr>
          <w:rFonts w:hint="eastAsia" w:ascii="仿宋" w:hAnsi="仿宋" w:eastAsia="仿宋" w:cs="仿宋"/>
          <w:color w:val="auto"/>
          <w:sz w:val="32"/>
          <w:szCs w:val="32"/>
        </w:rPr>
        <w:t>现有教师62名，其中河北省骨干教师1人、石家庄市学科名师3人、石家庄市骨干教师9人、石家庄市优秀教师7人。教师全部为本科以上学历，其中硕士研究生占比27%，</w:t>
      </w:r>
      <w:r>
        <w:rPr>
          <w:rFonts w:hint="eastAsia" w:ascii="仿宋" w:hAnsi="仿宋" w:eastAsia="仿宋" w:cs="仿宋"/>
          <w:color w:val="auto"/>
          <w:sz w:val="32"/>
          <w:szCs w:val="32"/>
          <w:lang w:val="en-US" w:eastAsia="zh-CN"/>
        </w:rPr>
        <w:t>高级讲师15人，</w:t>
      </w:r>
      <w:r>
        <w:rPr>
          <w:rFonts w:hint="eastAsia" w:ascii="仿宋" w:hAnsi="仿宋" w:eastAsia="仿宋" w:cs="仿宋"/>
          <w:color w:val="auto"/>
          <w:sz w:val="32"/>
          <w:szCs w:val="32"/>
        </w:rPr>
        <w:t>学生数与专任教师数比例</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17:1，</w:t>
      </w:r>
      <w:r>
        <w:rPr>
          <w:rFonts w:hint="eastAsia" w:ascii="仿宋" w:hAnsi="仿宋" w:eastAsia="仿宋" w:cs="仿宋"/>
          <w:color w:val="auto"/>
          <w:sz w:val="32"/>
          <w:szCs w:val="32"/>
        </w:rPr>
        <w:t>“双师型”教师占专业课教师数比例</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w:t>
      </w:r>
      <w:r>
        <w:rPr>
          <w:rFonts w:hint="eastAsia" w:ascii="仿宋" w:hAnsi="仿宋" w:eastAsia="仿宋" w:cs="仿宋"/>
          <w:color w:val="auto"/>
          <w:sz w:val="32"/>
          <w:szCs w:val="32"/>
          <w:lang w:eastAsia="zh-CN"/>
        </w:rPr>
        <w:t>。</w:t>
      </w:r>
    </w:p>
    <w:p w14:paraId="7A56B302">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高职阶段</w:t>
      </w:r>
      <w:r>
        <w:rPr>
          <w:rFonts w:hint="eastAsia" w:ascii="仿宋" w:hAnsi="仿宋" w:eastAsia="仿宋" w:cs="仿宋"/>
          <w:color w:val="auto"/>
          <w:sz w:val="32"/>
          <w:szCs w:val="32"/>
        </w:rPr>
        <w:t>根据招生规模以及专业教学改革的需要确定专业专任教师数量，学生与专业专任教师比不高于25：1。专任教师具有较丰富的教学经验和一定的实践水平，熟悉本专业课程教育改革的发展趋势，有较强的改革意识，能积极参与课程体系、教学内容、教学方法和手段改革。在专业带头人的带领下，能够对人才培养方案提出修改建议；能够编写具有行业地域特点的、创新的特色讲义，完成工学结合的优质核心课程建设；紧密联系行业企业，跟踪制药行业的发展，不断改革教学内容与教学方法，在教学中实现“教、学、做”一体化，提高教学质量。</w:t>
      </w:r>
    </w:p>
    <w:p w14:paraId="3617CED3">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专业带头人为高级讲师，具有</w:t>
      </w:r>
      <w:r>
        <w:rPr>
          <w:rFonts w:hint="eastAsia" w:ascii="仿宋" w:hAnsi="仿宋" w:eastAsia="仿宋" w:cs="仿宋"/>
          <w:color w:val="auto"/>
          <w:sz w:val="32"/>
          <w:szCs w:val="32"/>
        </w:rPr>
        <w:t>较强的实践能力，能广泛联系行业企业，了解国内外医药制造行业发展新趋势，准确把握行业企业用人需求，具有组织开展专业建设、教科研工作和企业服务的能力，在本专业改革发展中起引领作用。</w:t>
      </w:r>
    </w:p>
    <w:p w14:paraId="1B550901">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本专业所有专任教师</w:t>
      </w:r>
      <w:r>
        <w:rPr>
          <w:rFonts w:hint="eastAsia" w:ascii="仿宋" w:hAnsi="仿宋" w:eastAsia="仿宋" w:cs="仿宋"/>
          <w:color w:val="auto"/>
          <w:sz w:val="32"/>
          <w:szCs w:val="32"/>
        </w:rPr>
        <w:t>具有教师资格证书；具有药学、制药工程等相关专业学历；具有本专业理论和实践能力；能够落实课程思政要求，挖掘专业课程中的思政教育元素和资源；能够运用信息技术开展混合式教学等教法改革；能够跟踪新技术</w:t>
      </w:r>
      <w:r>
        <w:rPr>
          <w:rFonts w:hint="eastAsia" w:ascii="仿宋" w:hAnsi="仿宋" w:eastAsia="仿宋" w:cs="仿宋"/>
          <w:color w:val="auto"/>
          <w:sz w:val="32"/>
          <w:szCs w:val="32"/>
          <w:lang w:eastAsia="zh-CN"/>
        </w:rPr>
        <w:t>、新方法</w:t>
      </w:r>
      <w:r>
        <w:rPr>
          <w:rFonts w:hint="eastAsia" w:ascii="仿宋" w:hAnsi="仿宋" w:eastAsia="仿宋" w:cs="仿宋"/>
          <w:color w:val="auto"/>
          <w:sz w:val="32"/>
          <w:szCs w:val="32"/>
        </w:rPr>
        <w:t>发展前沿，开展社会服务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专业教师每年至少1个月在企业或生产性实训基地锻炼，每5年累计不少于6个月的企业实践经历。</w:t>
      </w:r>
    </w:p>
    <w:p w14:paraId="56BB7917">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专业教师</w:t>
      </w:r>
      <w:r>
        <w:rPr>
          <w:rFonts w:hint="eastAsia" w:ascii="仿宋" w:hAnsi="仿宋" w:eastAsia="仿宋" w:cs="仿宋"/>
          <w:color w:val="auto"/>
          <w:sz w:val="32"/>
          <w:szCs w:val="32"/>
        </w:rPr>
        <w:t>拥有执业药师、药物检验工（高级）、分析检验工（二级）等职业资格证书及药物制剂生产、药品购销等“1+X”职业技能等级培训教师证书。</w:t>
      </w:r>
    </w:p>
    <w:p w14:paraId="09BEB274">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从石药控股集团有限公司、</w:t>
      </w:r>
      <w:r>
        <w:rPr>
          <w:rFonts w:hint="eastAsia" w:ascii="仿宋" w:hAnsi="仿宋" w:eastAsia="仿宋" w:cs="仿宋"/>
          <w:color w:val="auto"/>
          <w:sz w:val="32"/>
          <w:szCs w:val="32"/>
        </w:rPr>
        <w:t>石家庄四药有限公司、国药乐仁堂河北药业有限公司</w:t>
      </w:r>
      <w:r>
        <w:rPr>
          <w:rFonts w:hint="eastAsia" w:ascii="仿宋" w:hAnsi="仿宋" w:eastAsia="仿宋" w:cs="仿宋"/>
          <w:color w:val="auto"/>
          <w:sz w:val="32"/>
          <w:szCs w:val="32"/>
          <w:lang w:eastAsia="zh-CN"/>
        </w:rPr>
        <w:t>聘请了多位工程师及高级工程师作为兼职教师，具备“双师型”教师资格，</w:t>
      </w:r>
      <w:r>
        <w:rPr>
          <w:rFonts w:hint="eastAsia" w:ascii="仿宋" w:hAnsi="仿宋" w:eastAsia="仿宋" w:cs="仿宋"/>
          <w:color w:val="auto"/>
          <w:sz w:val="32"/>
          <w:szCs w:val="32"/>
        </w:rPr>
        <w:t>了解教育教学规律，能承担专业课程教学、实习实训指导和学生职业发展规划指导等专业教学任务。</w:t>
      </w:r>
    </w:p>
    <w:p w14:paraId="0FE3616D">
      <w:pPr>
        <w:overflowPunct w:val="0"/>
        <w:adjustRightInd w:val="0"/>
        <w:spacing w:line="560" w:lineRule="exact"/>
        <w:ind w:firstLine="640" w:firstLineChars="200"/>
        <w:outlineLvl w:val="1"/>
        <w:rPr>
          <w:rFonts w:hint="eastAsia" w:ascii="黑体" w:hAnsi="黑体" w:eastAsia="黑体" w:cs="黑体"/>
          <w:sz w:val="32"/>
          <w:szCs w:val="32"/>
          <w:lang w:val="en-US" w:eastAsia="zh-CN"/>
        </w:rPr>
      </w:pPr>
      <w:bookmarkStart w:id="15" w:name="_Toc27243"/>
      <w:r>
        <w:rPr>
          <w:rFonts w:hint="eastAsia" w:ascii="黑体" w:hAnsi="黑体" w:eastAsia="黑体" w:cs="黑体"/>
          <w:sz w:val="32"/>
          <w:szCs w:val="32"/>
          <w:lang w:val="en-US" w:eastAsia="zh-CN"/>
        </w:rPr>
        <w:t>十一、教学条件</w:t>
      </w:r>
    </w:p>
    <w:p w14:paraId="7CA0E573">
      <w:pPr>
        <w:overflowPunct w:val="0"/>
        <w:adjustRightInd w:val="0"/>
        <w:spacing w:line="560" w:lineRule="exact"/>
        <w:ind w:firstLine="640" w:firstLineChars="200"/>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）教学设施</w:t>
      </w:r>
      <w:bookmarkEnd w:id="15"/>
    </w:p>
    <w:p w14:paraId="01737121">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1.专业教室基本情况</w:t>
      </w:r>
    </w:p>
    <w:p w14:paraId="5361CDFF">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学校教室</w:t>
      </w:r>
      <w:r>
        <w:rPr>
          <w:rFonts w:hint="eastAsia" w:ascii="仿宋" w:hAnsi="仿宋" w:eastAsia="仿宋" w:cs="仿宋"/>
          <w:color w:val="auto"/>
          <w:sz w:val="32"/>
          <w:szCs w:val="32"/>
        </w:rPr>
        <w:t>具备利用信息化手段开展混合式教学的条件。配备黑（白）板、多媒体计算机、投影设备、音响设备，具有互联网接入及网络安全防护措施。安装应急照明装置并保持良好状态，符合紧急疏散要求，安防标志明显，保持逃生通道畅通无阻。</w:t>
      </w:r>
    </w:p>
    <w:p w14:paraId="213B165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2.校内外实验、实训场所基本要求</w:t>
      </w:r>
    </w:p>
    <w:p w14:paraId="2CBA273C">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学校</w:t>
      </w:r>
      <w:r>
        <w:rPr>
          <w:rFonts w:hint="eastAsia" w:ascii="仿宋" w:hAnsi="仿宋" w:eastAsia="仿宋" w:cs="仿宋"/>
          <w:color w:val="auto"/>
          <w:sz w:val="32"/>
          <w:szCs w:val="32"/>
        </w:rPr>
        <w:t>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有机合成、制剂生产等实验、实训活动。鼓励在实训中运用大数据、云计算、人工智能、虚拟仿真等前沿信息技术。</w:t>
      </w:r>
    </w:p>
    <w:p w14:paraId="3B52718D">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化学实验室</w:t>
      </w:r>
    </w:p>
    <w:p w14:paraId="17D73550">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配备通风橱、烘箱、水浴锅、化学玻璃仪器、电子天平等设备设施，用于有机化学、无机化学、药物化学、药理学等实验教学。</w:t>
      </w:r>
    </w:p>
    <w:p w14:paraId="5B350887">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（2）药物检验实验室</w:t>
      </w:r>
    </w:p>
    <w:p w14:paraId="0277E149">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配备片剂脆碎度测定仪、硬度仪、溶出度测定仪、电子天平、纯水仪、烘箱等设备设施，可在药物</w:t>
      </w:r>
      <w:r>
        <w:rPr>
          <w:rFonts w:hint="eastAsia" w:ascii="仿宋" w:hAnsi="仿宋" w:eastAsia="仿宋" w:cs="仿宋"/>
          <w:color w:val="auto"/>
          <w:sz w:val="32"/>
          <w:szCs w:val="32"/>
          <w:lang w:eastAsia="zh-CN"/>
        </w:rPr>
        <w:t>检验</w:t>
      </w:r>
      <w:r>
        <w:rPr>
          <w:rFonts w:hint="eastAsia" w:ascii="仿宋" w:hAnsi="仿宋" w:eastAsia="仿宋" w:cs="仿宋"/>
          <w:color w:val="auto"/>
          <w:sz w:val="32"/>
          <w:szCs w:val="32"/>
        </w:rPr>
        <w:t>实训室设置独立检测站，用于药物制剂质量检查等实验教学。</w:t>
      </w:r>
    </w:p>
    <w:p w14:paraId="51195D61">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）仿真实训室</w:t>
      </w:r>
    </w:p>
    <w:p w14:paraId="0F5C8185">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配备药物制剂GMP仿真操作软件、药物制剂设备实训软件、制图、文档处理软件等，用于药物制剂等仿真实训教学。</w:t>
      </w:r>
    </w:p>
    <w:p w14:paraId="4A66EE6A">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可结合实际建设综合性实训场所。</w:t>
      </w:r>
    </w:p>
    <w:p w14:paraId="3E17EEF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3.实习场所基本要求</w:t>
      </w:r>
    </w:p>
    <w:p w14:paraId="7963C014">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1BB7B062">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根据本专业人才培养的需要和未来就业需求，实习基地</w:t>
      </w:r>
      <w:r>
        <w:rPr>
          <w:rFonts w:hint="eastAsia" w:ascii="仿宋" w:hAnsi="仿宋" w:eastAsia="仿宋" w:cs="仿宋"/>
          <w:color w:val="auto"/>
          <w:sz w:val="32"/>
          <w:szCs w:val="32"/>
          <w:lang w:eastAsia="zh-CN"/>
        </w:rPr>
        <w:t>可以</w:t>
      </w:r>
      <w:r>
        <w:rPr>
          <w:rFonts w:hint="eastAsia" w:ascii="仿宋" w:hAnsi="仿宋" w:eastAsia="仿宋" w:cs="仿宋"/>
          <w:color w:val="auto"/>
          <w:sz w:val="32"/>
          <w:szCs w:val="32"/>
        </w:rPr>
        <w:t>提供药物制剂生产、药物制剂设备使用与维护、药物制剂质量控制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47645358">
      <w:pPr>
        <w:spacing w:line="56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（二）教学资源</w:t>
      </w:r>
    </w:p>
    <w:p w14:paraId="41E0DBD8">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主要包括能够满足学生专业学习、教师专业教学研究和教学实施需要的教材、图书及数字化资源等。</w:t>
      </w:r>
    </w:p>
    <w:p w14:paraId="5811602C">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1.教材选用基本要求</w:t>
      </w:r>
    </w:p>
    <w:p w14:paraId="1C11A13D">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按照国家规定，经过规范程序选用教材，优先选用国家规划教材和国家优秀教材。专业课程教材体现本行业新技术、新规范、新标准、新形态，并通过数字教材、活页式教材等多种方式进行动态更新。</w:t>
      </w:r>
    </w:p>
    <w:p w14:paraId="419915DA">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2.图书文献配备基本要求</w:t>
      </w:r>
    </w:p>
    <w:p w14:paraId="069FDA36">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图书文献配备能满足人才培养、专业建设、教科研等工作的需要。专业类图书文献主要包括：《中华人民共和国药典》《药品生产质量管理规范》等。及时配置新经济、新技术、新工艺、新材料、新管理方式、新服务方式等相关的图书文献。</w:t>
      </w:r>
    </w:p>
    <w:p w14:paraId="28AAE3A2">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3.数字教学资源配置基本要求</w:t>
      </w:r>
    </w:p>
    <w:p w14:paraId="3CE101F2">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建设、配备与本专业有关的音视频素材、教学课件、数字化教学案例库、虚拟仿真软件等专业教学资源库，种类丰富、形式多样、使用便捷、动态更新、满足教学。</w:t>
      </w:r>
    </w:p>
    <w:p w14:paraId="1E0228C3">
      <w:pPr>
        <w:overflowPunct w:val="0"/>
        <w:adjustRightInd w:val="0"/>
        <w:spacing w:line="560" w:lineRule="exact"/>
        <w:ind w:firstLine="640" w:firstLineChars="200"/>
        <w:outlineLvl w:val="0"/>
        <w:rPr>
          <w:rFonts w:hint="eastAsia" w:ascii="黑体" w:hAnsi="黑体" w:eastAsia="黑体" w:cs="黑体"/>
          <w:color w:val="auto"/>
          <w:sz w:val="32"/>
          <w:szCs w:val="32"/>
        </w:rPr>
      </w:pPr>
      <w:r>
        <w:rPr>
          <w:rFonts w:hint="eastAsia" w:ascii="黑体" w:hAnsi="黑体" w:eastAsia="黑体"/>
          <w:color w:val="auto"/>
          <w:sz w:val="32"/>
          <w:szCs w:val="32"/>
          <w:lang w:eastAsia="zh-CN"/>
        </w:rPr>
        <w:t>十</w:t>
      </w:r>
      <w:r>
        <w:rPr>
          <w:rFonts w:hint="eastAsia" w:ascii="黑体" w:hAnsi="黑体" w:eastAsia="黑体"/>
          <w:color w:val="auto"/>
          <w:sz w:val="32"/>
          <w:szCs w:val="32"/>
          <w:lang w:val="en-US" w:eastAsia="zh-CN"/>
        </w:rPr>
        <w:t xml:space="preserve">二 </w:t>
      </w:r>
      <w:r>
        <w:rPr>
          <w:rFonts w:hint="eastAsia" w:ascii="黑体" w:hAnsi="黑体" w:eastAsia="黑体"/>
          <w:color w:val="auto"/>
          <w:sz w:val="32"/>
          <w:szCs w:val="32"/>
        </w:rPr>
        <w:t>质量保障</w:t>
      </w:r>
    </w:p>
    <w:p w14:paraId="0A6AE10F">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学校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6986898E">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学校</w:t>
      </w:r>
      <w:r>
        <w:rPr>
          <w:rFonts w:hint="eastAsia" w:ascii="仿宋" w:hAnsi="仿宋" w:eastAsia="仿宋" w:cs="仿宋"/>
          <w:color w:val="auto"/>
          <w:sz w:val="32"/>
          <w:szCs w:val="32"/>
          <w:lang w:eastAsia="zh-CN"/>
        </w:rPr>
        <w:t>定期</w:t>
      </w:r>
      <w:r>
        <w:rPr>
          <w:rFonts w:hint="eastAsia" w:ascii="仿宋" w:hAnsi="仿宋" w:eastAsia="仿宋" w:cs="仿宋"/>
          <w:color w:val="auto"/>
          <w:sz w:val="32"/>
          <w:szCs w:val="32"/>
        </w:rPr>
        <w:t>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7A6CF948">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专业教研组织定期召开教学研讨会议，利用评价分析结果有效改进专业教学，持续提高人才培养质量。</w:t>
      </w:r>
    </w:p>
    <w:p w14:paraId="52E28C30">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学校建</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rPr>
        <w:t>毕业生跟踪反馈机制及社会评价机制，并对生源情况、职业道德、技术技能水平、就业质量等进行分析，定期评价人才培养质量和培养目标达成情况。</w:t>
      </w:r>
    </w:p>
    <w:p w14:paraId="21BB53EA">
      <w:pPr>
        <w:spacing w:line="560" w:lineRule="exact"/>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eastAsia="zh-CN"/>
        </w:rPr>
        <w:t>十</w:t>
      </w:r>
      <w:r>
        <w:rPr>
          <w:rFonts w:hint="eastAsia" w:ascii="黑体" w:hAnsi="黑体" w:eastAsia="黑体"/>
          <w:color w:val="auto"/>
          <w:sz w:val="32"/>
          <w:szCs w:val="32"/>
          <w:lang w:val="en-US" w:eastAsia="zh-CN"/>
        </w:rPr>
        <w:t>三 毕业要求</w:t>
      </w:r>
    </w:p>
    <w:p w14:paraId="6844D417">
      <w:pPr>
        <w:overflowPunct w:val="0"/>
        <w:adjustRightInd w:val="0"/>
        <w:spacing w:line="560" w:lineRule="exact"/>
        <w:ind w:firstLine="640" w:firstLineChars="200"/>
        <w:outlineLvl w:val="9"/>
        <w:rPr>
          <w:rFonts w:hint="eastAsia" w:ascii="楷体" w:hAnsi="楷体" w:eastAsia="楷体" w:cs="楷体"/>
          <w:color w:val="auto"/>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一</w:t>
      </w:r>
      <w:r>
        <w:rPr>
          <w:rFonts w:hint="eastAsia" w:ascii="楷体" w:hAnsi="楷体" w:eastAsia="楷体" w:cs="楷体"/>
          <w:sz w:val="32"/>
          <w:szCs w:val="32"/>
        </w:rPr>
        <w:t>）</w:t>
      </w:r>
      <w:r>
        <w:rPr>
          <w:rFonts w:hint="eastAsia" w:ascii="楷体" w:hAnsi="楷体" w:eastAsia="楷体" w:cs="楷体"/>
          <w:sz w:val="32"/>
          <w:szCs w:val="32"/>
          <w:lang w:val="en-US" w:eastAsia="zh-CN"/>
        </w:rPr>
        <w:t>中职学段</w:t>
      </w:r>
    </w:p>
    <w:p w14:paraId="34146442">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根据专业培养目标和培养规格，完成规定的实习实训，全部课程考核合格。</w:t>
      </w:r>
    </w:p>
    <w:p w14:paraId="4A86CE91">
      <w:pPr>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14:paraId="24455E5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3.在校期间，遵守校规校纪，</w:t>
      </w:r>
      <w:r>
        <w:rPr>
          <w:rFonts w:hint="eastAsia" w:ascii="仿宋" w:hAnsi="仿宋" w:eastAsia="仿宋" w:cs="仿宋"/>
          <w:sz w:val="32"/>
          <w:szCs w:val="32"/>
        </w:rPr>
        <w:t>无</w:t>
      </w:r>
      <w:r>
        <w:rPr>
          <w:rFonts w:hint="eastAsia" w:ascii="仿宋" w:hAnsi="仿宋" w:eastAsia="仿宋" w:cs="仿宋"/>
          <w:sz w:val="32"/>
          <w:szCs w:val="32"/>
          <w:lang w:val="en-US" w:eastAsia="zh-CN"/>
        </w:rPr>
        <w:t>违纪处分</w:t>
      </w:r>
      <w:r>
        <w:rPr>
          <w:rFonts w:hint="eastAsia" w:ascii="仿宋" w:hAnsi="仿宋" w:eastAsia="仿宋" w:cs="仿宋"/>
          <w:sz w:val="32"/>
          <w:szCs w:val="32"/>
        </w:rPr>
        <w:t>。</w:t>
      </w:r>
    </w:p>
    <w:p w14:paraId="45A08C1C">
      <w:pPr>
        <w:overflowPunct w:val="0"/>
        <w:adjustRightInd w:val="0"/>
        <w:spacing w:line="560" w:lineRule="exact"/>
        <w:ind w:firstLine="640" w:firstLineChars="200"/>
        <w:outlineLvl w:val="9"/>
        <w:rPr>
          <w:rFonts w:hint="eastAsia"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高职学段</w:t>
      </w:r>
    </w:p>
    <w:p w14:paraId="730560A0">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1.学时是指学习时间以课时为单位的计算单位，一般不少于45分钟为1个学时；实践教学一般每周按28学时计算；课程学时原则为8的整数倍。</w:t>
      </w:r>
    </w:p>
    <w:p w14:paraId="225D692B">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总学时与学分：总学时控制在1650学时以内，学分93.5学分。其中公共基础课15.5学分，专业课程60学分，选修课（公共选修和专业选修）12学分，大学生素质拓展6学分。</w:t>
      </w:r>
    </w:p>
    <w:p w14:paraId="765C43A7">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2.公共课学时与学分</w:t>
      </w:r>
    </w:p>
    <w:p w14:paraId="3FCCC578">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1）毛泽东思想和中国特色社会主义理论体系概论，2学分，32学时，第二学期开设；</w:t>
      </w:r>
    </w:p>
    <w:p w14:paraId="4FCEA677">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2）习近平新时代中国特色社会主义思想概论，3学分，48学时，第二学期开设；</w:t>
      </w:r>
    </w:p>
    <w:p w14:paraId="327953D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3）思想道德与法治课程48学时，3学分，第一学期开设；</w:t>
      </w:r>
    </w:p>
    <w:p w14:paraId="693C4549">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4）形势与政策课程共32学时，1个学分，第一、二、三、四学期各8学时；</w:t>
      </w:r>
    </w:p>
    <w:p w14:paraId="30191201">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5）美育课2学分，32学时，在网络课程完成（限选）；</w:t>
      </w:r>
    </w:p>
    <w:p w14:paraId="71C00F00">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6）体育课程第一学期开设32学时，2学分；</w:t>
      </w:r>
    </w:p>
    <w:p w14:paraId="4CA245E4">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职业规划与就业指导课程40学时，2学分（其中，理论24学时，实践14学时。理论学时中，职业规划12学时，在第二学期完成，就业指导12学时，在第三学期完成。实践学时中，分别为简历大赛和职业规划大赛各占8学时）；</w:t>
      </w:r>
    </w:p>
    <w:p w14:paraId="7D3A3336">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8）入学教育及军训60学时，2学分，共计2周；</w:t>
      </w:r>
    </w:p>
    <w:p w14:paraId="3372E454">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9）军事理论课程36学时（32学时线下+4学时网络课程），2学分；</w:t>
      </w:r>
    </w:p>
    <w:p w14:paraId="229B3D23">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10）劳动教育课程30学时，不占学分；</w:t>
      </w:r>
    </w:p>
    <w:p w14:paraId="5361E8DE">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11）数学、英语在选修课中安排，供有需要的同学选择；</w:t>
      </w:r>
    </w:p>
    <w:p w14:paraId="2636DF2C">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课程学分分为可置换学分和不可置换学分。可置换学分课程是课程的学分可用相应奖励等获得的学分进行置换的课程，置换学分等于或高于本课程学分学生可免修本课程，多数为选修课程；不可置换学分课程是课程学分不能用任何奖励等获得的学分进行置换，必须参加相应课程学习并通过课程考核，成绩合格才能获得相应学分的课程。具体内容参考《河北化工医药职业技术学院学分制管理办法》。</w:t>
      </w:r>
    </w:p>
    <w:p w14:paraId="163FDE5B">
      <w:pPr>
        <w:spacing w:line="560" w:lineRule="exact"/>
        <w:ind w:firstLine="640" w:firstLineChars="200"/>
        <w:rPr>
          <w:rFonts w:hint="eastAsia" w:ascii="仿宋" w:hAnsi="仿宋" w:eastAsia="仿宋" w:cs="仿宋"/>
          <w:color w:val="auto"/>
          <w:sz w:val="32"/>
          <w:szCs w:val="32"/>
        </w:rPr>
      </w:pPr>
    </w:p>
    <w:sectPr>
      <w:footerReference r:id="rId3" w:type="default"/>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FECEA7-D149-4AE1-832D-4D136740E6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97F490-86B0-4239-AE4A-CF11B0E4BCE1}"/>
  </w:font>
  <w:font w:name="方正小标宋简体">
    <w:panose1 w:val="02010600010101010101"/>
    <w:charset w:val="86"/>
    <w:family w:val="auto"/>
    <w:pitch w:val="default"/>
    <w:sig w:usb0="00000001" w:usb1="080E0000" w:usb2="00000000" w:usb3="00000000" w:csb0="00040000" w:csb1="00000000"/>
    <w:embedRegular r:id="rId3" w:fontKey="{9F744868-980D-4908-83E8-DEC3EC2EBCAB}"/>
  </w:font>
  <w:font w:name="方正仿宋简体">
    <w:altName w:val="微软雅黑"/>
    <w:panose1 w:val="02000000000000000000"/>
    <w:charset w:val="86"/>
    <w:family w:val="script"/>
    <w:pitch w:val="default"/>
    <w:sig w:usb0="00000000" w:usb1="00000000" w:usb2="00000012" w:usb3="00000000" w:csb0="00040001" w:csb1="00000000"/>
    <w:embedRegular r:id="rId4" w:fontKey="{FBA4E3A5-87C3-4196-B80F-3351E3BD0CC6}"/>
  </w:font>
  <w:font w:name="仿宋">
    <w:panose1 w:val="02010609060101010101"/>
    <w:charset w:val="86"/>
    <w:family w:val="auto"/>
    <w:pitch w:val="default"/>
    <w:sig w:usb0="800002BF" w:usb1="38CF7CFA" w:usb2="00000016" w:usb3="00000000" w:csb0="00040001" w:csb1="00000000"/>
    <w:embedRegular r:id="rId5" w:fontKey="{49F8F024-2A40-4B9E-B204-7E43A9FEA321}"/>
  </w:font>
  <w:font w:name="方正仿宋_GBK">
    <w:panose1 w:val="02000000000000000000"/>
    <w:charset w:val="86"/>
    <w:family w:val="auto"/>
    <w:pitch w:val="default"/>
    <w:sig w:usb0="A00002BF" w:usb1="38CF7CFA" w:usb2="00082016" w:usb3="00000000" w:csb0="00040001" w:csb1="00000000"/>
    <w:embedRegular r:id="rId6" w:fontKey="{797735B7-83BF-45DE-B77C-4D4B9AFEB1E4}"/>
  </w:font>
  <w:font w:name="楷体">
    <w:panose1 w:val="02010609060101010101"/>
    <w:charset w:val="86"/>
    <w:family w:val="modern"/>
    <w:pitch w:val="default"/>
    <w:sig w:usb0="800002BF" w:usb1="38CF7CFA" w:usb2="00000016" w:usb3="00000000" w:csb0="00040001" w:csb1="00000000"/>
    <w:embedRegular r:id="rId7" w:fontKey="{DFF18297-B568-4AEE-A637-E5633AE7D874}"/>
  </w:font>
  <w:font w:name="Segoe UI">
    <w:panose1 w:val="020B0502040204020203"/>
    <w:charset w:val="00"/>
    <w:family w:val="auto"/>
    <w:pitch w:val="default"/>
    <w:sig w:usb0="E4002EFF" w:usb1="C000E47F" w:usb2="00000009" w:usb3="00000000" w:csb0="200001FF" w:csb1="00000000"/>
    <w:embedRegular r:id="rId8" w:fontKey="{FB87D01D-C8F6-4039-8F07-A1BBA11255CE}"/>
  </w:font>
  <w:font w:name="仿宋_GB2312">
    <w:panose1 w:val="02010609030101010101"/>
    <w:charset w:val="86"/>
    <w:family w:val="auto"/>
    <w:pitch w:val="default"/>
    <w:sig w:usb0="00000001" w:usb1="080E0000" w:usb2="00000000" w:usb3="00000000" w:csb0="00040000" w:csb1="00000000"/>
    <w:embedRegular r:id="rId9" w:fontKey="{13A29E36-4AD1-41A6-8A20-CDD11943829E}"/>
  </w:font>
  <w:font w:name="方正楷体简体">
    <w:altName w:val="楷体_GB2312"/>
    <w:panose1 w:val="02000000000000000000"/>
    <w:charset w:val="86"/>
    <w:family w:val="auto"/>
    <w:pitch w:val="default"/>
    <w:sig w:usb0="00000000" w:usb1="00000000" w:usb2="00000012" w:usb3="00000000" w:csb0="00040001" w:csb1="00000000"/>
    <w:embedRegular r:id="rId10" w:fontKey="{B85F3705-458F-4F38-B05D-BB5E862AE54A}"/>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369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314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D314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NzIyZDE4ODYyMGYwMWFjOTc1MTJiZTRhNTg3ZTAifQ=="/>
    <w:docVar w:name="KSO_WPS_MARK_KEY" w:val="e848f592-66bd-43e0-9e89-6559a0770732"/>
  </w:docVars>
  <w:rsids>
    <w:rsidRoot w:val="51750383"/>
    <w:rsid w:val="00003A34"/>
    <w:rsid w:val="00011826"/>
    <w:rsid w:val="00026F19"/>
    <w:rsid w:val="00066BB8"/>
    <w:rsid w:val="000742FA"/>
    <w:rsid w:val="000B3924"/>
    <w:rsid w:val="000B4B76"/>
    <w:rsid w:val="000D2B95"/>
    <w:rsid w:val="00104AA0"/>
    <w:rsid w:val="0012460E"/>
    <w:rsid w:val="00194B1A"/>
    <w:rsid w:val="001A413D"/>
    <w:rsid w:val="001D696F"/>
    <w:rsid w:val="001E1FD2"/>
    <w:rsid w:val="001F08A7"/>
    <w:rsid w:val="00221244"/>
    <w:rsid w:val="00237976"/>
    <w:rsid w:val="002949F6"/>
    <w:rsid w:val="002F0298"/>
    <w:rsid w:val="0037386D"/>
    <w:rsid w:val="003A77EA"/>
    <w:rsid w:val="003B59B8"/>
    <w:rsid w:val="003E64C1"/>
    <w:rsid w:val="00492225"/>
    <w:rsid w:val="00495050"/>
    <w:rsid w:val="00510095"/>
    <w:rsid w:val="0052677C"/>
    <w:rsid w:val="00546070"/>
    <w:rsid w:val="005504B6"/>
    <w:rsid w:val="00552D7B"/>
    <w:rsid w:val="005E322F"/>
    <w:rsid w:val="005F69F6"/>
    <w:rsid w:val="006141E3"/>
    <w:rsid w:val="00653356"/>
    <w:rsid w:val="00663D73"/>
    <w:rsid w:val="00677324"/>
    <w:rsid w:val="006B6ED5"/>
    <w:rsid w:val="006D011E"/>
    <w:rsid w:val="007708A3"/>
    <w:rsid w:val="007971E1"/>
    <w:rsid w:val="007C0136"/>
    <w:rsid w:val="007D49BC"/>
    <w:rsid w:val="007D4A49"/>
    <w:rsid w:val="007E3E5C"/>
    <w:rsid w:val="0080266F"/>
    <w:rsid w:val="00841598"/>
    <w:rsid w:val="008A7DCE"/>
    <w:rsid w:val="008B7DFF"/>
    <w:rsid w:val="009A73E6"/>
    <w:rsid w:val="009C3240"/>
    <w:rsid w:val="009C5A44"/>
    <w:rsid w:val="009E4660"/>
    <w:rsid w:val="00A42A92"/>
    <w:rsid w:val="00A9617C"/>
    <w:rsid w:val="00A97EFB"/>
    <w:rsid w:val="00AF16D0"/>
    <w:rsid w:val="00AF78D2"/>
    <w:rsid w:val="00B133C7"/>
    <w:rsid w:val="00B135DB"/>
    <w:rsid w:val="00B24D9C"/>
    <w:rsid w:val="00B34E44"/>
    <w:rsid w:val="00B603EB"/>
    <w:rsid w:val="00BF555D"/>
    <w:rsid w:val="00C11429"/>
    <w:rsid w:val="00C25083"/>
    <w:rsid w:val="00C80AFE"/>
    <w:rsid w:val="00D1447D"/>
    <w:rsid w:val="00D3176B"/>
    <w:rsid w:val="00D65C6D"/>
    <w:rsid w:val="00DA3143"/>
    <w:rsid w:val="00DC5F1E"/>
    <w:rsid w:val="00DE1AEE"/>
    <w:rsid w:val="00DE24C0"/>
    <w:rsid w:val="00E013DD"/>
    <w:rsid w:val="00E05B64"/>
    <w:rsid w:val="00E060F0"/>
    <w:rsid w:val="00E07303"/>
    <w:rsid w:val="00E7466B"/>
    <w:rsid w:val="00E85193"/>
    <w:rsid w:val="00E94766"/>
    <w:rsid w:val="00EA5D4A"/>
    <w:rsid w:val="00EF292A"/>
    <w:rsid w:val="00F41E07"/>
    <w:rsid w:val="00F5394D"/>
    <w:rsid w:val="00FA0177"/>
    <w:rsid w:val="00FE47EA"/>
    <w:rsid w:val="027A1FFF"/>
    <w:rsid w:val="028311D2"/>
    <w:rsid w:val="02AD2E45"/>
    <w:rsid w:val="02CE0832"/>
    <w:rsid w:val="04446205"/>
    <w:rsid w:val="05F310A8"/>
    <w:rsid w:val="061B33AB"/>
    <w:rsid w:val="079E52B1"/>
    <w:rsid w:val="07A2624F"/>
    <w:rsid w:val="07C83E1B"/>
    <w:rsid w:val="08191757"/>
    <w:rsid w:val="083D5445"/>
    <w:rsid w:val="085B1D6F"/>
    <w:rsid w:val="096F639D"/>
    <w:rsid w:val="09A8148B"/>
    <w:rsid w:val="0A303C26"/>
    <w:rsid w:val="0A943317"/>
    <w:rsid w:val="0AC86ED2"/>
    <w:rsid w:val="0ADE6DDF"/>
    <w:rsid w:val="0B2E5519"/>
    <w:rsid w:val="0CA91A44"/>
    <w:rsid w:val="0CAF268A"/>
    <w:rsid w:val="0CFE2CC9"/>
    <w:rsid w:val="0D42705A"/>
    <w:rsid w:val="0D764D13"/>
    <w:rsid w:val="0DFC1DC8"/>
    <w:rsid w:val="0E2B3F92"/>
    <w:rsid w:val="0F6244BB"/>
    <w:rsid w:val="0FA53A62"/>
    <w:rsid w:val="0FDE082B"/>
    <w:rsid w:val="1003797D"/>
    <w:rsid w:val="10220FE3"/>
    <w:rsid w:val="106F72F4"/>
    <w:rsid w:val="107C6D27"/>
    <w:rsid w:val="11252F1A"/>
    <w:rsid w:val="12211934"/>
    <w:rsid w:val="12CC5617"/>
    <w:rsid w:val="130608A8"/>
    <w:rsid w:val="130B2F3B"/>
    <w:rsid w:val="135348E6"/>
    <w:rsid w:val="135741CF"/>
    <w:rsid w:val="150A124F"/>
    <w:rsid w:val="151369B3"/>
    <w:rsid w:val="15694F24"/>
    <w:rsid w:val="15876BC1"/>
    <w:rsid w:val="15C01464"/>
    <w:rsid w:val="18041ADC"/>
    <w:rsid w:val="18FA7505"/>
    <w:rsid w:val="19404D95"/>
    <w:rsid w:val="1A323BA3"/>
    <w:rsid w:val="1AC900AA"/>
    <w:rsid w:val="1B862EE6"/>
    <w:rsid w:val="1BAB226E"/>
    <w:rsid w:val="1BE44EAC"/>
    <w:rsid w:val="1C6F7740"/>
    <w:rsid w:val="1E28404A"/>
    <w:rsid w:val="1E635082"/>
    <w:rsid w:val="1E940449"/>
    <w:rsid w:val="1EAC32F3"/>
    <w:rsid w:val="1EF65EF6"/>
    <w:rsid w:val="1F276D8B"/>
    <w:rsid w:val="1F613C68"/>
    <w:rsid w:val="1FB30D56"/>
    <w:rsid w:val="1FDC6E9A"/>
    <w:rsid w:val="20126CC7"/>
    <w:rsid w:val="20E770DE"/>
    <w:rsid w:val="21B46321"/>
    <w:rsid w:val="21D54CB5"/>
    <w:rsid w:val="21D567E6"/>
    <w:rsid w:val="2280002D"/>
    <w:rsid w:val="237C1404"/>
    <w:rsid w:val="23FB206D"/>
    <w:rsid w:val="240B469F"/>
    <w:rsid w:val="24A205A0"/>
    <w:rsid w:val="25511CA7"/>
    <w:rsid w:val="25851639"/>
    <w:rsid w:val="25D76759"/>
    <w:rsid w:val="26011BCA"/>
    <w:rsid w:val="27EB7686"/>
    <w:rsid w:val="28100720"/>
    <w:rsid w:val="28276604"/>
    <w:rsid w:val="29A9603F"/>
    <w:rsid w:val="29C65737"/>
    <w:rsid w:val="29F70701"/>
    <w:rsid w:val="2A0C65CE"/>
    <w:rsid w:val="2A4224D3"/>
    <w:rsid w:val="2A74508F"/>
    <w:rsid w:val="2A9A007E"/>
    <w:rsid w:val="2AAD3D28"/>
    <w:rsid w:val="2AED047E"/>
    <w:rsid w:val="2B8E1990"/>
    <w:rsid w:val="2C02412C"/>
    <w:rsid w:val="2C5A5D16"/>
    <w:rsid w:val="2CC56E1B"/>
    <w:rsid w:val="2CF43071"/>
    <w:rsid w:val="2D0411AD"/>
    <w:rsid w:val="2EC02073"/>
    <w:rsid w:val="2FF00BFE"/>
    <w:rsid w:val="2FF12B49"/>
    <w:rsid w:val="30BC7DFE"/>
    <w:rsid w:val="30C220DC"/>
    <w:rsid w:val="30C22315"/>
    <w:rsid w:val="30D715B9"/>
    <w:rsid w:val="31B94279"/>
    <w:rsid w:val="31E52D51"/>
    <w:rsid w:val="31F52DF0"/>
    <w:rsid w:val="32A310B0"/>
    <w:rsid w:val="32AA5752"/>
    <w:rsid w:val="32C57CA9"/>
    <w:rsid w:val="32E50A6F"/>
    <w:rsid w:val="33192473"/>
    <w:rsid w:val="33B064E7"/>
    <w:rsid w:val="33E749DF"/>
    <w:rsid w:val="3533180D"/>
    <w:rsid w:val="354237EC"/>
    <w:rsid w:val="35647FCA"/>
    <w:rsid w:val="359A7184"/>
    <w:rsid w:val="366854D4"/>
    <w:rsid w:val="36A55DE0"/>
    <w:rsid w:val="373F08BA"/>
    <w:rsid w:val="385362AC"/>
    <w:rsid w:val="3905273B"/>
    <w:rsid w:val="39BE6D92"/>
    <w:rsid w:val="3B041C33"/>
    <w:rsid w:val="3B5713F1"/>
    <w:rsid w:val="3B982D49"/>
    <w:rsid w:val="3C6C7132"/>
    <w:rsid w:val="3CCD42E3"/>
    <w:rsid w:val="3CD27C26"/>
    <w:rsid w:val="3D1837B0"/>
    <w:rsid w:val="3DF12C92"/>
    <w:rsid w:val="3E4D0913"/>
    <w:rsid w:val="3E8323FC"/>
    <w:rsid w:val="3E9F580B"/>
    <w:rsid w:val="3EDB71ED"/>
    <w:rsid w:val="3EFC4A0B"/>
    <w:rsid w:val="3F536D21"/>
    <w:rsid w:val="405A694A"/>
    <w:rsid w:val="41FF4F3E"/>
    <w:rsid w:val="42596719"/>
    <w:rsid w:val="42752198"/>
    <w:rsid w:val="42C61868"/>
    <w:rsid w:val="433D186A"/>
    <w:rsid w:val="435D1C70"/>
    <w:rsid w:val="43756E57"/>
    <w:rsid w:val="43BE4985"/>
    <w:rsid w:val="44963158"/>
    <w:rsid w:val="44AF4753"/>
    <w:rsid w:val="44D679E6"/>
    <w:rsid w:val="44E54543"/>
    <w:rsid w:val="44F03CA1"/>
    <w:rsid w:val="45462E84"/>
    <w:rsid w:val="455158F4"/>
    <w:rsid w:val="45A04342"/>
    <w:rsid w:val="45C04B2F"/>
    <w:rsid w:val="46026DAB"/>
    <w:rsid w:val="46726D53"/>
    <w:rsid w:val="46A312F1"/>
    <w:rsid w:val="470B07EE"/>
    <w:rsid w:val="47A94144"/>
    <w:rsid w:val="480C3F44"/>
    <w:rsid w:val="48111D26"/>
    <w:rsid w:val="48561630"/>
    <w:rsid w:val="486959CC"/>
    <w:rsid w:val="48897310"/>
    <w:rsid w:val="48DB1B35"/>
    <w:rsid w:val="4938307A"/>
    <w:rsid w:val="49740948"/>
    <w:rsid w:val="49D7060F"/>
    <w:rsid w:val="49EB5DA8"/>
    <w:rsid w:val="4AC52226"/>
    <w:rsid w:val="4B12395E"/>
    <w:rsid w:val="4B5300A9"/>
    <w:rsid w:val="4C6A7509"/>
    <w:rsid w:val="4CA706AC"/>
    <w:rsid w:val="4D3B7C96"/>
    <w:rsid w:val="4DDC4EFC"/>
    <w:rsid w:val="4EB716BA"/>
    <w:rsid w:val="4FDF3672"/>
    <w:rsid w:val="50200547"/>
    <w:rsid w:val="505C1165"/>
    <w:rsid w:val="507C775A"/>
    <w:rsid w:val="51403A91"/>
    <w:rsid w:val="51750383"/>
    <w:rsid w:val="51AA35AD"/>
    <w:rsid w:val="52A54642"/>
    <w:rsid w:val="532575DD"/>
    <w:rsid w:val="538928BA"/>
    <w:rsid w:val="538F3485"/>
    <w:rsid w:val="54EF26DE"/>
    <w:rsid w:val="55325CA9"/>
    <w:rsid w:val="555A2D61"/>
    <w:rsid w:val="556F5EDE"/>
    <w:rsid w:val="55786DBF"/>
    <w:rsid w:val="55BC1931"/>
    <w:rsid w:val="56007E22"/>
    <w:rsid w:val="56642E02"/>
    <w:rsid w:val="577C175B"/>
    <w:rsid w:val="578A55E5"/>
    <w:rsid w:val="57943BE9"/>
    <w:rsid w:val="58A77ADB"/>
    <w:rsid w:val="59AD70AF"/>
    <w:rsid w:val="5A141F59"/>
    <w:rsid w:val="5A260B37"/>
    <w:rsid w:val="5B484E08"/>
    <w:rsid w:val="5B7B51DE"/>
    <w:rsid w:val="5BC33FA7"/>
    <w:rsid w:val="5C223568"/>
    <w:rsid w:val="5CE00143"/>
    <w:rsid w:val="5D7D771C"/>
    <w:rsid w:val="5F5905F2"/>
    <w:rsid w:val="5F961C75"/>
    <w:rsid w:val="5FB07420"/>
    <w:rsid w:val="5FD84FC4"/>
    <w:rsid w:val="5FF612D7"/>
    <w:rsid w:val="602D7CBC"/>
    <w:rsid w:val="608C2C34"/>
    <w:rsid w:val="60C5514D"/>
    <w:rsid w:val="61827416"/>
    <w:rsid w:val="6280757E"/>
    <w:rsid w:val="62AF0893"/>
    <w:rsid w:val="63A4729C"/>
    <w:rsid w:val="644301A3"/>
    <w:rsid w:val="64430959"/>
    <w:rsid w:val="648603B0"/>
    <w:rsid w:val="64BC23C3"/>
    <w:rsid w:val="64E2007C"/>
    <w:rsid w:val="65077789"/>
    <w:rsid w:val="657D5FF6"/>
    <w:rsid w:val="65855C7B"/>
    <w:rsid w:val="668B2507"/>
    <w:rsid w:val="670E4F40"/>
    <w:rsid w:val="67632B84"/>
    <w:rsid w:val="68B62B80"/>
    <w:rsid w:val="68D423D1"/>
    <w:rsid w:val="6A440E91"/>
    <w:rsid w:val="6A4E7F61"/>
    <w:rsid w:val="6AA656A7"/>
    <w:rsid w:val="6B7E548C"/>
    <w:rsid w:val="6BA25B26"/>
    <w:rsid w:val="6C1A65D8"/>
    <w:rsid w:val="6C204519"/>
    <w:rsid w:val="6D3F05F3"/>
    <w:rsid w:val="6E136DBE"/>
    <w:rsid w:val="6F213E96"/>
    <w:rsid w:val="6F742218"/>
    <w:rsid w:val="6FD213F0"/>
    <w:rsid w:val="70105BD0"/>
    <w:rsid w:val="70357077"/>
    <w:rsid w:val="70EB50D8"/>
    <w:rsid w:val="725D4B26"/>
    <w:rsid w:val="73025D8D"/>
    <w:rsid w:val="74015467"/>
    <w:rsid w:val="75B415C0"/>
    <w:rsid w:val="768D7E3A"/>
    <w:rsid w:val="76A57467"/>
    <w:rsid w:val="77FF289B"/>
    <w:rsid w:val="79246A5D"/>
    <w:rsid w:val="79BD2ABA"/>
    <w:rsid w:val="7B113011"/>
    <w:rsid w:val="7B1523C3"/>
    <w:rsid w:val="7BCD3C26"/>
    <w:rsid w:val="7C376AA7"/>
    <w:rsid w:val="7C8C2CA7"/>
    <w:rsid w:val="7CBA2DEB"/>
    <w:rsid w:val="7E2554F5"/>
    <w:rsid w:val="7E2E6549"/>
    <w:rsid w:val="7F7A5FC5"/>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styleId="11">
    <w:name w:val="Hyperlink"/>
    <w:basedOn w:val="8"/>
    <w:autoRedefine/>
    <w:qFormat/>
    <w:uiPriority w:val="0"/>
    <w:rPr>
      <w:color w:val="0000FF"/>
      <w:u w:val="single"/>
    </w:rPr>
  </w:style>
  <w:style w:type="paragraph" w:customStyle="1" w:styleId="12">
    <w:name w:val="中等深浅网格 1 - 着色 21"/>
    <w:basedOn w:val="1"/>
    <w:autoRedefine/>
    <w:qFormat/>
    <w:uiPriority w:val="0"/>
    <w:pPr>
      <w:spacing w:line="360" w:lineRule="auto"/>
      <w:ind w:firstLine="420" w:firstLineChars="200"/>
    </w:pPr>
    <w:rPr>
      <w:rFonts w:ascii="Calibri" w:hAnsi="Calibri" w:eastAsia="宋体"/>
    </w:rPr>
  </w:style>
  <w:style w:type="paragraph" w:styleId="13">
    <w:name w:val="List Paragraph"/>
    <w:basedOn w:val="1"/>
    <w:autoRedefine/>
    <w:qFormat/>
    <w:uiPriority w:val="34"/>
    <w:pPr>
      <w:ind w:firstLine="420" w:firstLineChars="200"/>
    </w:pPr>
    <w:rPr>
      <w:rFonts w:ascii="Calibri" w:hAnsi="Calibri" w:eastAsia="宋体" w:cs="Times New Roman"/>
      <w:szCs w:val="22"/>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31"/>
    <w:basedOn w:val="8"/>
    <w:qFormat/>
    <w:uiPriority w:val="0"/>
    <w:rPr>
      <w:rFonts w:ascii="宋体" w:hAnsi="宋体" w:eastAsia="宋体" w:cs="宋体"/>
      <w:color w:val="000000"/>
      <w:sz w:val="12"/>
      <w:szCs w:val="12"/>
      <w:u w:val="none"/>
    </w:rPr>
  </w:style>
  <w:style w:type="character" w:customStyle="1" w:styleId="16">
    <w:name w:val="font41"/>
    <w:basedOn w:val="8"/>
    <w:qFormat/>
    <w:uiPriority w:val="0"/>
    <w:rPr>
      <w:rFonts w:ascii="宋体" w:hAnsi="宋体" w:eastAsia="宋体" w:cs="宋体"/>
      <w:color w:val="000000"/>
      <w:sz w:val="12"/>
      <w:szCs w:val="12"/>
      <w:u w:val="none"/>
    </w:rPr>
  </w:style>
  <w:style w:type="character" w:customStyle="1" w:styleId="17">
    <w:name w:val="font21"/>
    <w:basedOn w:val="8"/>
    <w:qFormat/>
    <w:uiPriority w:val="0"/>
    <w:rPr>
      <w:rFonts w:ascii="宋体" w:hAnsi="宋体" w:eastAsia="宋体" w:cs="宋体"/>
      <w:color w:val="000000"/>
      <w:sz w:val="12"/>
      <w:szCs w:val="12"/>
      <w:u w:val="none"/>
    </w:rPr>
  </w:style>
  <w:style w:type="character" w:customStyle="1" w:styleId="18">
    <w:name w:val="font61"/>
    <w:basedOn w:val="8"/>
    <w:uiPriority w:val="0"/>
    <w:rPr>
      <w:rFonts w:ascii="宋体" w:hAnsi="宋体" w:eastAsia="宋体" w:cs="宋体"/>
      <w:color w:val="000000"/>
      <w:sz w:val="16"/>
      <w:szCs w:val="16"/>
      <w:u w:val="none"/>
    </w:rPr>
  </w:style>
  <w:style w:type="character" w:customStyle="1" w:styleId="19">
    <w:name w:val="font71"/>
    <w:basedOn w:val="8"/>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CA7E9-E950-445B-811C-E42CBB6FE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2470</Words>
  <Characters>2505</Characters>
  <Lines>123</Lines>
  <Paragraphs>34</Paragraphs>
  <TotalTime>0</TotalTime>
  <ScaleCrop>false</ScaleCrop>
  <LinksUpToDate>false</LinksUpToDate>
  <CharactersWithSpaces>2533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今天小九瘦了吗</cp:lastModifiedBy>
  <cp:lastPrinted>2019-07-08T06:10:00Z</cp:lastPrinted>
  <dcterms:modified xsi:type="dcterms:W3CDTF">2025-08-25T08:30:56Z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2846E8B5D75A46D985D9A9DCAA5C7D53</vt:lpwstr>
  </property>
  <property fmtid="{D5CDD505-2E9C-101B-9397-08002B2CF9AE}" pid="4" name="KSOTemplateDocerSaveRecord">
    <vt:lpwstr>eyJoZGlkIjoiODAxMjRjMTc4ZTMzMjAxMWZkMjk2NmUwYTg3OWYxZWEiLCJ1c2VySWQiOiIyNDI2NTYzNTgifQ==</vt:lpwstr>
  </property>
</Properties>
</file>