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ind w:firstLine="880" w:firstLineChars="200"/>
        <w:jc w:val="center"/>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Toc398"/>
      <w:bookmarkStart w:id="1" w:name="_Toc21624"/>
      <w:bookmarkStart w:id="2" w:name="_Toc13783"/>
      <w:bookmarkStart w:id="3" w:name="_Toc11597"/>
      <w:bookmarkStart w:id="4" w:name="_Toc10769"/>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石家庄财经商贸学校</w:t>
      </w:r>
    </w:p>
    <w:p>
      <w:pPr>
        <w:spacing w:after="156" w:afterLines="50" w:line="560" w:lineRule="exact"/>
        <w:ind w:firstLine="880" w:firstLineChars="200"/>
        <w:jc w:val="center"/>
        <w:outlineLvl w:val="0"/>
        <w:rPr>
          <w:rFonts w:ascii="宋体" w:hAnsi="宋体" w:cs="宋体"/>
          <w:b/>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23级纳税</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事务专业人才培养方案</w:t>
      </w:r>
      <w:bookmarkEnd w:id="0"/>
      <w:bookmarkEnd w:id="1"/>
      <w:bookmarkEnd w:id="2"/>
      <w:bookmarkEnd w:id="3"/>
      <w:bookmarkEnd w:id="4"/>
    </w:p>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5" w:name="_Toc21600"/>
      <w:bookmarkStart w:id="6" w:name="_Toc18664"/>
      <w:r>
        <w:rPr>
          <w:rFonts w:hint="eastAsia" w:ascii="黑体" w:hAnsi="黑体" w:eastAsia="黑体" w:cs="黑体"/>
          <w:color w:val="000000" w:themeColor="text1"/>
          <w:sz w:val="32"/>
          <w:szCs w:val="32"/>
          <w14:textFill>
            <w14:solidFill>
              <w14:schemeClr w14:val="tx1"/>
            </w14:solidFill>
          </w14:textFill>
        </w:rPr>
        <w:t>一、专业名称及代码</w:t>
      </w:r>
      <w:bookmarkEnd w:id="5"/>
      <w:bookmarkEnd w:id="6"/>
    </w:p>
    <w:p>
      <w:pPr>
        <w:spacing w:line="56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专业名称：</w:t>
      </w:r>
      <w:r>
        <w:rPr>
          <w:rFonts w:hint="eastAsia" w:ascii="仿宋" w:hAnsi="仿宋" w:eastAsia="仿宋" w:cs="仿宋"/>
          <w:bCs/>
          <w:color w:val="000000" w:themeColor="text1"/>
          <w:sz w:val="32"/>
          <w:szCs w:val="32"/>
          <w:lang w:val="en-US" w:eastAsia="zh-CN"/>
          <w14:textFill>
            <w14:solidFill>
              <w14:schemeClr w14:val="tx1"/>
            </w14:solidFill>
          </w14:textFill>
        </w:rPr>
        <w:t>纳税</w:t>
      </w:r>
      <w:r>
        <w:rPr>
          <w:rFonts w:hint="eastAsia" w:ascii="仿宋" w:hAnsi="仿宋" w:eastAsia="仿宋" w:cs="仿宋"/>
          <w:bCs/>
          <w:color w:val="000000" w:themeColor="text1"/>
          <w:sz w:val="32"/>
          <w:szCs w:val="32"/>
          <w14:textFill>
            <w14:solidFill>
              <w14:schemeClr w14:val="tx1"/>
            </w14:solidFill>
          </w14:textFill>
        </w:rPr>
        <w:t>事务</w:t>
      </w:r>
    </w:p>
    <w:p>
      <w:pPr>
        <w:spacing w:line="560" w:lineRule="exact"/>
        <w:ind w:firstLine="640" w:firstLineChars="200"/>
        <w:jc w:val="left"/>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专业代码：</w:t>
      </w:r>
      <w:r>
        <w:rPr>
          <w:rFonts w:ascii="仿宋" w:hAnsi="仿宋" w:eastAsia="仿宋" w:cs="仿宋"/>
          <w:bCs/>
          <w:color w:val="000000" w:themeColor="text1"/>
          <w:sz w:val="32"/>
          <w:szCs w:val="32"/>
          <w14:textFill>
            <w14:solidFill>
              <w14:schemeClr w14:val="tx1"/>
            </w14:solidFill>
          </w14:textFill>
        </w:rPr>
        <w:t>730101</w:t>
      </w:r>
    </w:p>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7" w:name="_Toc9277"/>
      <w:bookmarkStart w:id="8" w:name="_Toc30546"/>
      <w:r>
        <w:rPr>
          <w:rFonts w:hint="eastAsia" w:ascii="黑体" w:hAnsi="黑体" w:eastAsia="黑体" w:cs="黑体"/>
          <w:color w:val="000000" w:themeColor="text1"/>
          <w:sz w:val="32"/>
          <w:szCs w:val="32"/>
          <w14:textFill>
            <w14:solidFill>
              <w14:schemeClr w14:val="tx1"/>
            </w14:solidFill>
          </w14:textFill>
        </w:rPr>
        <w:t>二、入学要求</w:t>
      </w:r>
      <w:bookmarkEnd w:id="7"/>
      <w:bookmarkEnd w:id="8"/>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本专业招收</w:t>
      </w:r>
      <w:r>
        <w:rPr>
          <w:rFonts w:hint="eastAsia" w:ascii="仿宋" w:hAnsi="仿宋" w:eastAsia="仿宋" w:cs="仿宋"/>
          <w:color w:val="000000" w:themeColor="text1"/>
          <w:sz w:val="32"/>
          <w:szCs w:val="32"/>
          <w14:textFill>
            <w14:solidFill>
              <w14:schemeClr w14:val="tx1"/>
            </w14:solidFill>
          </w14:textFill>
        </w:rPr>
        <w:t>初中毕业生或具有同等学力者</w:t>
      </w:r>
      <w:r>
        <w:rPr>
          <w:rFonts w:hint="eastAsia" w:ascii="仿宋" w:hAnsi="仿宋" w:eastAsia="仿宋" w:cs="仿宋"/>
          <w:color w:val="000000" w:themeColor="text1"/>
          <w:sz w:val="32"/>
          <w:szCs w:val="32"/>
          <w:lang w:eastAsia="zh-CN"/>
          <w14:textFill>
            <w14:solidFill>
              <w14:schemeClr w14:val="tx1"/>
            </w14:solidFill>
          </w14:textFill>
        </w:rPr>
        <w:t>。</w:t>
      </w:r>
    </w:p>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9" w:name="_Toc31958"/>
      <w:bookmarkStart w:id="10" w:name="_Toc20511"/>
      <w:r>
        <w:rPr>
          <w:rFonts w:hint="eastAsia" w:ascii="黑体" w:hAnsi="黑体" w:eastAsia="黑体" w:cs="黑体"/>
          <w:color w:val="000000" w:themeColor="text1"/>
          <w:sz w:val="32"/>
          <w:szCs w:val="32"/>
          <w14:textFill>
            <w14:solidFill>
              <w14:schemeClr w14:val="tx1"/>
            </w14:solidFill>
          </w14:textFill>
        </w:rPr>
        <w:t>三、修业年限</w:t>
      </w:r>
      <w:bookmarkEnd w:id="9"/>
      <w:bookmarkEnd w:id="10"/>
    </w:p>
    <w:p>
      <w:pPr>
        <w:spacing w:line="56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年</w:t>
      </w:r>
    </w:p>
    <w:p>
      <w:pPr>
        <w:spacing w:line="560" w:lineRule="exact"/>
        <w:ind w:firstLine="640" w:firstLineChars="200"/>
        <w:jc w:val="left"/>
        <w:outlineLvl w:val="0"/>
        <w:rPr>
          <w:rFonts w:hint="eastAsia" w:ascii="黑体" w:hAnsi="黑体" w:eastAsia="黑体" w:cs="黑体"/>
          <w:color w:val="000000" w:themeColor="text1"/>
          <w:sz w:val="32"/>
          <w:szCs w:val="32"/>
          <w14:textFill>
            <w14:solidFill>
              <w14:schemeClr w14:val="tx1"/>
            </w14:solidFill>
          </w14:textFill>
        </w:rPr>
      </w:pPr>
      <w:bookmarkStart w:id="11" w:name="_Toc23741"/>
      <w:bookmarkStart w:id="12" w:name="_Toc15542"/>
      <w:r>
        <w:rPr>
          <w:rFonts w:hint="eastAsia" w:ascii="黑体" w:hAnsi="黑体" w:eastAsia="黑体" w:cs="黑体"/>
          <w:color w:val="000000" w:themeColor="text1"/>
          <w:sz w:val="32"/>
          <w:szCs w:val="32"/>
          <w14:textFill>
            <w14:solidFill>
              <w14:schemeClr w14:val="tx1"/>
            </w14:solidFill>
          </w14:textFill>
        </w:rPr>
        <w:t>四、职业面向</w:t>
      </w:r>
      <w:bookmarkEnd w:id="11"/>
      <w:bookmarkEnd w:id="12"/>
    </w:p>
    <w:p>
      <w:pPr>
        <w:spacing w:line="560" w:lineRule="exact"/>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纳税事务专业职业面向分析表见表1-1。</w:t>
      </w:r>
    </w:p>
    <w:p>
      <w:pPr>
        <w:spacing w:line="560" w:lineRule="exact"/>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表1-1           纳税事务专业职业面向分析表</w:t>
      </w:r>
    </w:p>
    <w:tbl>
      <w:tblPr>
        <w:tblStyle w:val="1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0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所属专业大类</w:t>
            </w:r>
          </w:p>
        </w:tc>
        <w:tc>
          <w:tcPr>
            <w:tcW w:w="6854"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财经商贸类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0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所属专业类</w:t>
            </w:r>
          </w:p>
        </w:tc>
        <w:tc>
          <w:tcPr>
            <w:tcW w:w="6854" w:type="dxa"/>
            <w:vAlign w:val="center"/>
          </w:tcPr>
          <w:p>
            <w:pPr>
              <w:spacing w:line="400" w:lineRule="exact"/>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财政税务类</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color w:val="000000" w:themeColor="text1"/>
                <w:kern w:val="0"/>
                <w:sz w:val="24"/>
                <w:szCs w:val="24"/>
                <w14:textFill>
                  <w14:solidFill>
                    <w14:schemeClr w14:val="tx1"/>
                  </w14:solidFill>
                </w14:textFill>
              </w:rPr>
              <w:t>7301</w:t>
            </w:r>
            <w:r>
              <w:rPr>
                <w:rFonts w:hint="eastAsia" w:ascii="仿宋" w:hAnsi="仿宋" w:eastAsia="仿宋" w:cs="仿宋"/>
                <w:bCs/>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0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对应行业</w:t>
            </w:r>
          </w:p>
        </w:tc>
        <w:tc>
          <w:tcPr>
            <w:tcW w:w="6854"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会计、审计及税务服务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0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主要</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类别</w:t>
            </w:r>
          </w:p>
        </w:tc>
        <w:tc>
          <w:tcPr>
            <w:tcW w:w="6854" w:type="dxa"/>
            <w:vAlign w:val="center"/>
          </w:tcPr>
          <w:p>
            <w:pPr>
              <w:keepNext w:val="0"/>
              <w:keepLines w:val="0"/>
              <w:widowControl/>
              <w:suppressLineNumbers w:val="0"/>
              <w:jc w:val="left"/>
              <w:rPr>
                <w:rFonts w:hint="eastAsia" w:ascii="仿宋" w:hAnsi="仿宋" w:eastAsia="仿宋" w:cs="仿宋"/>
                <w:color w:val="FF0000"/>
                <w:sz w:val="24"/>
                <w:szCs w:val="24"/>
                <w:lang w:val="en-US" w:eastAsia="zh-CN" w:bidi="ar-SA"/>
              </w:rPr>
            </w:pPr>
            <w:r>
              <w:rPr>
                <w:rFonts w:hint="eastAsia" w:ascii="仿宋" w:hAnsi="仿宋" w:eastAsia="仿宋" w:cs="仿宋"/>
                <w:color w:val="000000" w:themeColor="text1"/>
                <w:sz w:val="24"/>
                <w:szCs w:val="24"/>
                <w:lang w:val="en-US" w:eastAsia="zh-CN"/>
                <w14:textFill>
                  <w14:solidFill>
                    <w14:schemeClr w14:val="tx1"/>
                  </w14:solidFill>
                </w14:textFill>
              </w:rPr>
              <w:t>会计专业人员（2-06-03-00）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0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主要岗位（群）</w:t>
            </w:r>
          </w:p>
        </w:tc>
        <w:tc>
          <w:tcPr>
            <w:tcW w:w="6854" w:type="dxa"/>
            <w:vAlign w:val="center"/>
          </w:tcPr>
          <w:p>
            <w:pPr>
              <w:keepNext w:val="0"/>
              <w:keepLines w:val="0"/>
              <w:widowControl/>
              <w:suppressLineNumbers w:val="0"/>
              <w:jc w:val="left"/>
              <w:rPr>
                <w:rFonts w:hint="eastAsia" w:ascii="仿宋" w:hAnsi="仿宋" w:eastAsia="仿宋" w:cs="仿宋"/>
                <w:color w:val="000000" w:themeColor="text1"/>
                <w:sz w:val="24"/>
                <w:szCs w:val="24"/>
                <w:lang w:val="en-US"/>
                <w14:textFill>
                  <w14:solidFill>
                    <w14:schemeClr w14:val="tx1"/>
                  </w14:solidFill>
                </w14:textFill>
              </w:rPr>
            </w:pPr>
            <w:r>
              <w:rPr>
                <w:rFonts w:hint="eastAsia" w:ascii="仿宋" w:hAnsi="仿宋" w:eastAsia="仿宋" w:cs="仿宋"/>
                <w:color w:val="000000"/>
                <w:kern w:val="0"/>
                <w:sz w:val="24"/>
                <w:szCs w:val="24"/>
                <w:lang w:val="en-US" w:eastAsia="zh-CN" w:bidi="ar"/>
              </w:rPr>
              <w:t xml:space="preserve">企事业单位税费核算、智能申报、税务代理、税务咨询、纳税筹划等岗位群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80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职业资格</w:t>
            </w:r>
            <w:r>
              <w:rPr>
                <w:rFonts w:hint="eastAsia" w:ascii="仿宋" w:hAnsi="仿宋" w:eastAsia="仿宋" w:cs="仿宋"/>
                <w:bCs/>
                <w:color w:val="000000" w:themeColor="text1"/>
                <w:kern w:val="0"/>
                <w:sz w:val="24"/>
                <w:szCs w:val="24"/>
                <w:lang w:val="en-US" w:eastAsia="zh-CN"/>
                <w14:textFill>
                  <w14:solidFill>
                    <w14:schemeClr w14:val="tx1"/>
                  </w14:solidFill>
                </w14:textFill>
              </w:rPr>
              <w:t>/职业</w:t>
            </w:r>
            <w:r>
              <w:rPr>
                <w:rFonts w:hint="eastAsia" w:ascii="仿宋" w:hAnsi="仿宋" w:eastAsia="仿宋" w:cs="仿宋"/>
                <w:bCs/>
                <w:color w:val="000000" w:themeColor="text1"/>
                <w:kern w:val="0"/>
                <w:sz w:val="24"/>
                <w:szCs w:val="24"/>
                <w14:textFill>
                  <w14:solidFill>
                    <w14:schemeClr w14:val="tx1"/>
                  </w14:solidFill>
                </w14:textFill>
              </w:rPr>
              <w:t>技能证书</w:t>
            </w:r>
            <w:r>
              <w:rPr>
                <w:rFonts w:hint="eastAsia" w:ascii="仿宋" w:hAnsi="仿宋" w:eastAsia="仿宋" w:cs="仿宋"/>
                <w:bCs/>
                <w:color w:val="000000" w:themeColor="text1"/>
                <w:kern w:val="0"/>
                <w:sz w:val="24"/>
                <w:szCs w:val="24"/>
                <w:lang w:val="en-US" w:eastAsia="zh-CN"/>
                <w14:textFill>
                  <w14:solidFill>
                    <w14:schemeClr w14:val="tx1"/>
                  </w14:solidFill>
                </w14:textFill>
              </w:rPr>
              <w:t>举例</w:t>
            </w:r>
          </w:p>
        </w:tc>
        <w:tc>
          <w:tcPr>
            <w:tcW w:w="6854"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计算机等级证书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一级</w:t>
            </w:r>
            <w:r>
              <w:rPr>
                <w:rFonts w:hint="eastAsia" w:ascii="仿宋" w:hAnsi="仿宋" w:eastAsia="仿宋" w:cs="仿宋"/>
                <w:color w:val="000000" w:themeColor="text1"/>
                <w:sz w:val="24"/>
                <w:szCs w:val="24"/>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eastAsia="zh-CN"/>
              </w:rPr>
            </w:pPr>
            <w:bookmarkStart w:id="13" w:name="_Toc29405"/>
            <w:bookmarkStart w:id="14" w:name="_Toc14137"/>
            <w:bookmarkStart w:id="15" w:name="_Toc30533"/>
            <w:bookmarkStart w:id="16" w:name="_Toc7422"/>
            <w:r>
              <w:rPr>
                <w:rFonts w:hint="eastAsia" w:ascii="仿宋" w:hAnsi="仿宋" w:eastAsia="仿宋" w:cs="仿宋"/>
                <w:color w:val="000000" w:themeColor="text1"/>
                <w:sz w:val="24"/>
                <w:szCs w:val="24"/>
                <w14:textFill>
                  <w14:solidFill>
                    <w14:schemeClr w14:val="tx1"/>
                  </w14:solidFill>
                </w14:textFill>
              </w:rPr>
              <w:t>普通话证书</w:t>
            </w:r>
            <w:bookmarkEnd w:id="13"/>
            <w:bookmarkEnd w:id="14"/>
            <w:bookmarkEnd w:id="15"/>
            <w:bookmarkEnd w:id="16"/>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财务共享服务</w:t>
            </w:r>
            <w:r>
              <w:rPr>
                <w:rFonts w:hint="eastAsia" w:ascii="仿宋" w:hAnsi="仿宋" w:eastAsia="仿宋" w:cs="仿宋"/>
                <w:color w:val="000000"/>
                <w:kern w:val="0"/>
                <w:sz w:val="24"/>
                <w:szCs w:val="24"/>
                <w:lang w:bidi="ar"/>
              </w:rPr>
              <w:t>职业技能等级</w:t>
            </w:r>
            <w:r>
              <w:rPr>
                <w:rFonts w:hint="eastAsia" w:ascii="仿宋" w:hAnsi="仿宋" w:eastAsia="仿宋" w:cs="仿宋"/>
                <w:color w:val="000000" w:themeColor="text1"/>
                <w:sz w:val="24"/>
                <w:szCs w:val="24"/>
                <w14:textFill>
                  <w14:solidFill>
                    <w14:schemeClr w14:val="tx1"/>
                  </w14:solidFill>
                </w14:textFill>
              </w:rPr>
              <w:t>证书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初级</w:t>
            </w:r>
            <w:r>
              <w:rPr>
                <w:rFonts w:hint="eastAsia" w:ascii="仿宋" w:hAnsi="仿宋" w:eastAsia="仿宋" w:cs="仿宋"/>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财务数字化应用</w:t>
            </w:r>
            <w:r>
              <w:rPr>
                <w:rFonts w:hint="eastAsia" w:ascii="仿宋" w:hAnsi="仿宋" w:eastAsia="仿宋" w:cs="仿宋"/>
                <w:color w:val="000000"/>
                <w:kern w:val="0"/>
                <w:sz w:val="24"/>
                <w:szCs w:val="24"/>
                <w:lang w:bidi="ar"/>
              </w:rPr>
              <w:t>职业技能等级</w:t>
            </w:r>
            <w:r>
              <w:rPr>
                <w:rFonts w:hint="eastAsia" w:ascii="仿宋" w:hAnsi="仿宋" w:eastAsia="仿宋" w:cs="仿宋"/>
                <w:color w:val="000000" w:themeColor="text1"/>
                <w:sz w:val="24"/>
                <w:szCs w:val="24"/>
                <w14:textFill>
                  <w14:solidFill>
                    <w14:schemeClr w14:val="tx1"/>
                  </w14:solidFill>
                </w14:textFill>
              </w:rPr>
              <w:t>证书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初级</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kern w:val="0"/>
                <w:sz w:val="24"/>
                <w:szCs w:val="24"/>
                <w:lang w:bidi="ar"/>
              </w:rPr>
              <w:t xml:space="preserve"> </w:t>
            </w:r>
          </w:p>
        </w:tc>
      </w:tr>
    </w:tbl>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17" w:name="_Toc12049"/>
      <w:bookmarkStart w:id="18" w:name="_Toc4171"/>
      <w:r>
        <w:rPr>
          <w:rFonts w:hint="eastAsia" w:ascii="黑体" w:hAnsi="黑体" w:eastAsia="黑体" w:cs="黑体"/>
          <w:color w:val="000000" w:themeColor="text1"/>
          <w:sz w:val="32"/>
          <w:szCs w:val="32"/>
          <w14:textFill>
            <w14:solidFill>
              <w14:schemeClr w14:val="tx1"/>
            </w14:solidFill>
          </w14:textFill>
        </w:rPr>
        <w:t>五、培养目标</w:t>
      </w:r>
      <w:bookmarkEnd w:id="17"/>
      <w:bookmarkEnd w:id="18"/>
    </w:p>
    <w:p>
      <w:pPr>
        <w:spacing w:line="560" w:lineRule="exact"/>
        <w:ind w:firstLine="640" w:firstLineChars="200"/>
        <w:jc w:val="left"/>
        <w:rPr>
          <w:rFonts w:ascii="Times New Roman" w:hAnsi="Times New Roman"/>
          <w:color w:val="000000"/>
          <w:kern w:val="0"/>
          <w:sz w:val="24"/>
          <w:szCs w:val="24"/>
          <w:lang w:bidi="ar"/>
        </w:rPr>
      </w:pPr>
      <w:r>
        <w:rPr>
          <w:rFonts w:hint="eastAsia" w:ascii="仿宋" w:hAnsi="仿宋" w:eastAsia="仿宋" w:cs="仿宋"/>
          <w:bCs/>
          <w:color w:val="000000" w:themeColor="text1"/>
          <w:sz w:val="32"/>
          <w:szCs w:val="32"/>
          <w14:textFill>
            <w14:solidFill>
              <w14:schemeClr w14:val="tx1"/>
            </w14:solidFill>
          </w14:textFill>
        </w:rPr>
        <w:t>本专业培养德智体美劳全面发展，掌握扎实的科学文化基础和财经法律法规、企业经营与会计管理知识，具备会计核算与监督、财税咨询与服务、财务数据分析与应用等能力，具有工匠精神和信息素养，能够从事企事业单位出纳、会计与财税代理服务、会计信息系统实施等工作的技术技能人才。</w:t>
      </w:r>
      <w:r>
        <w:rPr>
          <w:rFonts w:ascii="Times New Roman" w:hAnsi="Times New Roman"/>
          <w:color w:val="000000"/>
          <w:kern w:val="0"/>
          <w:sz w:val="24"/>
          <w:szCs w:val="24"/>
          <w:lang w:bidi="ar"/>
        </w:rPr>
        <w:t xml:space="preserve"> </w:t>
      </w:r>
    </w:p>
    <w:p>
      <w:pPr>
        <w:spacing w:line="560" w:lineRule="exact"/>
        <w:ind w:firstLine="640" w:firstLineChars="200"/>
        <w:jc w:val="left"/>
        <w:outlineLvl w:val="0"/>
        <w:rPr>
          <w:rFonts w:hint="eastAsia" w:ascii="楷体" w:hAnsi="楷体" w:eastAsia="楷体" w:cs="楷体"/>
          <w:color w:val="000000" w:themeColor="text1"/>
          <w:sz w:val="32"/>
          <w:szCs w:val="32"/>
          <w14:textFill>
            <w14:solidFill>
              <w14:schemeClr w14:val="tx1"/>
            </w14:solidFill>
          </w14:textFill>
        </w:rPr>
      </w:pPr>
      <w:bookmarkStart w:id="19" w:name="_Toc1409"/>
      <w:bookmarkStart w:id="20" w:name="_Toc4434"/>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、培养规格</w:t>
      </w:r>
      <w:bookmarkEnd w:id="19"/>
      <w:bookmarkEnd w:id="20"/>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21" w:name="_Toc13629"/>
      <w:bookmarkStart w:id="22" w:name="_Toc28457"/>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一</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素质</w:t>
      </w:r>
      <w:bookmarkEnd w:id="21"/>
      <w:bookmarkEnd w:id="22"/>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1.践行社会主义核心价值观，具有深厚的爱国情感和中华民族自豪感</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640"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2.崇尚宪法、遵法守纪、崇德向善、诚实守信、尊重生命、热爱劳动，履行道德准则和行为规范，具有社会责任感和社会参与意识;</w:t>
      </w:r>
    </w:p>
    <w:p>
      <w:pPr>
        <w:spacing w:line="560" w:lineRule="exact"/>
        <w:ind w:firstLine="640" w:firstLineChars="20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爱岗敬业，诚实守信，廉洁自律，坚持准则，具有严谨细致、客观公正的职业精神和强化服务、参与管理的职业意识；</w:t>
      </w:r>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具有质量意识、环保意识、安全意识、信息素养、工匠精神、创新思维</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lang w:eastAsia="zh-CN"/>
          <w14:textFill>
            <w14:solidFill>
              <w14:schemeClr w14:val="tx1"/>
            </w14:solidFill>
          </w14:textFill>
        </w:rPr>
        <w:t>.具有坚韧不拔的毅力、积极乐观的态度、良好的人际关系、健全的人格品质，</w:t>
      </w:r>
      <w:r>
        <w:rPr>
          <w:rFonts w:hint="eastAsia" w:ascii="仿宋" w:hAnsi="仿宋" w:eastAsia="仿宋" w:cs="仿宋"/>
          <w:bCs/>
          <w:color w:val="000000" w:themeColor="text1"/>
          <w:sz w:val="32"/>
          <w:szCs w:val="32"/>
          <w14:textFill>
            <w14:solidFill>
              <w14:schemeClr w14:val="tx1"/>
            </w14:solidFill>
          </w14:textFill>
        </w:rPr>
        <w:t>有较强的团队合作精神</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bookmarkStart w:id="23" w:name="_Toc29304"/>
      <w:bookmarkStart w:id="24" w:name="_Toc31658"/>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）知识</w:t>
      </w:r>
      <w:bookmarkEnd w:id="23"/>
      <w:bookmarkEnd w:id="24"/>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1.掌握必备的思想政治理论、科学文化基础知识；</w:t>
      </w:r>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2.掌握企业日常经营活动基本业务流程和会计核算方法；</w:t>
      </w:r>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3.熟悉与</w:t>
      </w:r>
      <w:r>
        <w:rPr>
          <w:rFonts w:hint="eastAsia" w:ascii="仿宋" w:hAnsi="仿宋" w:eastAsia="仿宋" w:cs="仿宋"/>
          <w:bCs/>
          <w:color w:val="000000" w:themeColor="text1"/>
          <w:sz w:val="32"/>
          <w:szCs w:val="32"/>
          <w:lang w:val="en-US" w:eastAsia="zh-CN"/>
          <w14:textFill>
            <w14:solidFill>
              <w14:schemeClr w14:val="tx1"/>
            </w14:solidFill>
          </w14:textFill>
        </w:rPr>
        <w:t>本专业</w:t>
      </w:r>
      <w:r>
        <w:rPr>
          <w:rFonts w:hint="eastAsia" w:ascii="仿宋" w:hAnsi="仿宋" w:eastAsia="仿宋" w:cs="仿宋"/>
          <w:bCs/>
          <w:color w:val="000000" w:themeColor="text1"/>
          <w:sz w:val="32"/>
          <w:szCs w:val="32"/>
          <w:lang w:eastAsia="zh-CN"/>
          <w14:textFill>
            <w14:solidFill>
              <w14:schemeClr w14:val="tx1"/>
            </w14:solidFill>
          </w14:textFill>
        </w:rPr>
        <w:t>相关的财经法律法规</w:t>
      </w:r>
      <w:r>
        <w:rPr>
          <w:rFonts w:hint="eastAsia" w:ascii="仿宋" w:hAnsi="仿宋" w:eastAsia="仿宋" w:cs="仿宋"/>
          <w:bCs/>
          <w:color w:val="000000" w:themeColor="text1"/>
          <w:sz w:val="32"/>
          <w:szCs w:val="32"/>
          <w:lang w:val="en-US" w:eastAsia="zh-CN"/>
          <w14:textFill>
            <w14:solidFill>
              <w14:schemeClr w14:val="tx1"/>
            </w14:solidFill>
          </w14:textFill>
        </w:rPr>
        <w:t>相关</w:t>
      </w:r>
      <w:r>
        <w:rPr>
          <w:rFonts w:hint="eastAsia" w:ascii="仿宋" w:hAnsi="仿宋" w:eastAsia="仿宋" w:cs="仿宋"/>
          <w:bCs/>
          <w:color w:val="000000" w:themeColor="text1"/>
          <w:sz w:val="32"/>
          <w:szCs w:val="32"/>
          <w:lang w:eastAsia="zh-CN"/>
          <w14:textFill>
            <w14:solidFill>
              <w14:schemeClr w14:val="tx1"/>
            </w14:solidFill>
          </w14:textFill>
        </w:rPr>
        <w:t>知识；</w:t>
      </w:r>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4.</w:t>
      </w:r>
      <w:r>
        <w:rPr>
          <w:rFonts w:hint="eastAsia" w:ascii="仿宋" w:hAnsi="仿宋" w:eastAsia="仿宋" w:cs="仿宋"/>
          <w:bCs/>
          <w:color w:val="000000" w:themeColor="text1"/>
          <w:sz w:val="32"/>
          <w:szCs w:val="32"/>
          <w:lang w:val="en-US" w:eastAsia="zh-CN"/>
          <w14:textFill>
            <w14:solidFill>
              <w14:schemeClr w14:val="tx1"/>
            </w14:solidFill>
          </w14:textFill>
        </w:rPr>
        <w:t>掌握</w:t>
      </w:r>
      <w:r>
        <w:rPr>
          <w:rFonts w:hint="eastAsia" w:ascii="仿宋" w:hAnsi="仿宋" w:eastAsia="仿宋" w:cs="仿宋"/>
          <w:bCs/>
          <w:color w:val="000000" w:themeColor="text1"/>
          <w:sz w:val="32"/>
          <w:szCs w:val="32"/>
          <w:lang w:eastAsia="zh-CN"/>
          <w14:textFill>
            <w14:solidFill>
              <w14:schemeClr w14:val="tx1"/>
            </w14:solidFill>
          </w14:textFill>
        </w:rPr>
        <w:t>企业经营与</w:t>
      </w:r>
      <w:r>
        <w:rPr>
          <w:rFonts w:hint="eastAsia" w:ascii="仿宋" w:hAnsi="仿宋" w:eastAsia="仿宋" w:cs="仿宋"/>
          <w:bCs/>
          <w:color w:val="000000" w:themeColor="text1"/>
          <w:sz w:val="32"/>
          <w:szCs w:val="32"/>
          <w:lang w:val="en-US" w:eastAsia="zh-CN"/>
          <w14:textFill>
            <w14:solidFill>
              <w14:schemeClr w14:val="tx1"/>
            </w14:solidFill>
          </w14:textFill>
        </w:rPr>
        <w:t>财务</w:t>
      </w:r>
      <w:r>
        <w:rPr>
          <w:rFonts w:hint="eastAsia" w:ascii="仿宋" w:hAnsi="仿宋" w:eastAsia="仿宋" w:cs="仿宋"/>
          <w:bCs/>
          <w:color w:val="000000" w:themeColor="text1"/>
          <w:sz w:val="32"/>
          <w:szCs w:val="32"/>
          <w:lang w:eastAsia="zh-CN"/>
          <w14:textFill>
            <w14:solidFill>
              <w14:schemeClr w14:val="tx1"/>
            </w14:solidFill>
          </w14:textFill>
        </w:rPr>
        <w:t>管理知识；</w:t>
      </w:r>
    </w:p>
    <w:p>
      <w:pPr>
        <w:spacing w:line="560" w:lineRule="exact"/>
        <w:ind w:firstLine="640" w:firstLineChars="20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5.掌握常用财务软件及会计信息系统的知识及应用。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1"/>
        <w:rPr>
          <w:rFonts w:hint="eastAsia" w:ascii="楷体" w:hAnsi="楷体" w:eastAsia="楷体" w:cs="楷体"/>
          <w:b/>
          <w:bCs w:val="0"/>
          <w:color w:val="000000" w:themeColor="text1"/>
          <w:sz w:val="32"/>
          <w:szCs w:val="32"/>
          <w14:textFill>
            <w14:solidFill>
              <w14:schemeClr w14:val="tx1"/>
            </w14:solidFill>
          </w14:textFill>
        </w:rPr>
      </w:pPr>
      <w:bookmarkStart w:id="25" w:name="_Toc23620"/>
      <w:bookmarkStart w:id="26" w:name="_Toc21028"/>
      <w:r>
        <w:rPr>
          <w:rFonts w:hint="eastAsia" w:ascii="楷体" w:hAnsi="楷体" w:eastAsia="楷体" w:cs="楷体"/>
          <w:b/>
          <w:bCs w:val="0"/>
          <w:color w:val="000000" w:themeColor="text1"/>
          <w:sz w:val="32"/>
          <w:szCs w:val="32"/>
          <w:lang w:eastAsia="zh-CN"/>
          <w14:textFill>
            <w14:solidFill>
              <w14:schemeClr w14:val="tx1"/>
            </w14:solidFill>
          </w14:textFill>
        </w:rPr>
        <w:t>（</w:t>
      </w:r>
      <w:r>
        <w:rPr>
          <w:rFonts w:hint="eastAsia" w:ascii="楷体" w:hAnsi="楷体" w:eastAsia="楷体" w:cs="楷体"/>
          <w:b/>
          <w:bCs w:val="0"/>
          <w:color w:val="000000" w:themeColor="text1"/>
          <w:sz w:val="32"/>
          <w:szCs w:val="32"/>
          <w:lang w:val="en-US" w:eastAsia="zh-CN"/>
          <w14:textFill>
            <w14:solidFill>
              <w14:schemeClr w14:val="tx1"/>
            </w14:solidFill>
          </w14:textFill>
        </w:rPr>
        <w:t>三</w:t>
      </w:r>
      <w:r>
        <w:rPr>
          <w:rFonts w:hint="eastAsia" w:ascii="楷体" w:hAnsi="楷体" w:eastAsia="楷体" w:cs="楷体"/>
          <w:b/>
          <w:bCs w:val="0"/>
          <w:color w:val="000000" w:themeColor="text1"/>
          <w:sz w:val="32"/>
          <w:szCs w:val="32"/>
          <w:lang w:eastAsia="zh-CN"/>
          <w14:textFill>
            <w14:solidFill>
              <w14:schemeClr w14:val="tx1"/>
            </w14:solidFill>
          </w14:textFill>
        </w:rPr>
        <w:t>）</w:t>
      </w:r>
      <w:r>
        <w:rPr>
          <w:rFonts w:hint="eastAsia" w:ascii="楷体" w:hAnsi="楷体" w:eastAsia="楷体" w:cs="楷体"/>
          <w:b/>
          <w:bCs w:val="0"/>
          <w:color w:val="000000" w:themeColor="text1"/>
          <w:sz w:val="32"/>
          <w:szCs w:val="32"/>
          <w14:textFill>
            <w14:solidFill>
              <w14:schemeClr w14:val="tx1"/>
            </w14:solidFill>
          </w14:textFill>
        </w:rPr>
        <w:t>能力</w:t>
      </w:r>
      <w:bookmarkEnd w:id="25"/>
      <w:bookmarkEnd w:id="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1.掌握票据法规知识和电子票据处理基本技能，具有企业主要经济业务票据识别</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电子发票开具等票据处理能力；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2.掌握资金结算与内控管理知识，具有企业收支业务办理、出纳账务处理和往来资金管理能力；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3.掌握企业日常经营活动基本业务流程和会计核算方法，具有主要经济业务会计确认、计量、报告以及实施会计监督的能力；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 xml:space="preserve">.掌握会计信息系统主要功能、应用方法、实施步骤与工作规范，具有企业基本业务流程办理、业财核算与监督、应用财务机器人进行辅助核算的能力；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.掌握财务数据分析的基本方法，具有企业经营数据、财务报表数据分析并对数据分析结果进行可视化呈现的能力。</w:t>
      </w:r>
    </w:p>
    <w:p>
      <w:pPr>
        <w:spacing w:line="560" w:lineRule="exact"/>
        <w:ind w:firstLine="640" w:firstLineChars="200"/>
        <w:jc w:val="left"/>
        <w:outlineLvl w:val="0"/>
        <w:rPr>
          <w:rFonts w:hint="eastAsia" w:ascii="黑体" w:hAnsi="黑体" w:eastAsia="黑体" w:cs="黑体"/>
          <w:color w:val="000000" w:themeColor="text1"/>
          <w:sz w:val="32"/>
          <w:szCs w:val="32"/>
          <w:lang w:val="en-US" w:eastAsia="zh-CN"/>
          <w14:textFill>
            <w14:solidFill>
              <w14:schemeClr w14:val="tx1"/>
            </w14:solidFill>
          </w14:textFill>
        </w:rPr>
      </w:pPr>
      <w:bookmarkStart w:id="27" w:name="_Toc14087"/>
      <w:bookmarkStart w:id="28" w:name="_Toc32645"/>
      <w:r>
        <w:rPr>
          <w:rFonts w:hint="eastAsia" w:ascii="黑体" w:hAnsi="黑体" w:eastAsia="黑体" w:cs="黑体"/>
          <w:color w:val="000000" w:themeColor="text1"/>
          <w:sz w:val="32"/>
          <w:szCs w:val="32"/>
          <w:lang w:val="en-US" w:eastAsia="zh-CN"/>
          <w14:textFill>
            <w14:solidFill>
              <w14:schemeClr w14:val="tx1"/>
            </w14:solidFill>
          </w14:textFill>
        </w:rPr>
        <w:t>七、职业能力和职业资格/职业技能标准分析</w:t>
      </w:r>
      <w:bookmarkEnd w:id="27"/>
      <w:bookmarkEnd w:id="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职业能力和职业资格/职业技能标准分析表见表1-2。</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表1-2        职业能力和职业资格/职业技能标准分析表</w:t>
      </w:r>
    </w:p>
    <w:tbl>
      <w:tblPr>
        <w:tblStyle w:val="11"/>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3257"/>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工作岗位</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职业能力</w:t>
            </w:r>
          </w:p>
        </w:tc>
        <w:tc>
          <w:tcPr>
            <w:tcW w:w="419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职业资格/职业技能标准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会计主管</w:t>
            </w:r>
          </w:p>
        </w:tc>
        <w:tc>
          <w:tcPr>
            <w:tcW w:w="325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负责业务协同系统中与本岗位相关的经济业务办理、原始业务单据审核和审批。</w:t>
            </w:r>
          </w:p>
        </w:tc>
        <w:tc>
          <w:tcPr>
            <w:tcW w:w="419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1.能根据会计信息化系统进行记账凭证审核、期末结账并出具财务报表。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2.能进行转账汇款申请记录的复核。</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3.熟悉电子税务局系统税费的申报和缴纳等操作流程。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出纳</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p>
        </w:tc>
        <w:tc>
          <w:tcPr>
            <w:tcW w:w="325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1.负责现金、银行存款、票据结算的业务处理。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2.熟悉网上银行系统付款业务的转账汇款申请；每日办理完结银行存款收支业务后核对出纳账与网上银行系统的银行存款余额是</w:t>
            </w:r>
            <w:r>
              <w:rPr>
                <w:rFonts w:hint="eastAsia" w:ascii="仿宋" w:hAnsi="仿宋" w:eastAsia="仿宋" w:cs="仿宋"/>
                <w:color w:val="000000" w:themeColor="text1"/>
                <w:w w:val="90"/>
                <w:sz w:val="24"/>
                <w:szCs w:val="24"/>
                <w:highlight w:val="none"/>
                <w:lang w:val="en-US" w:eastAsia="zh-CN"/>
                <w14:textFill>
                  <w14:solidFill>
                    <w14:schemeClr w14:val="tx1"/>
                  </w14:solidFill>
                </w14:textFill>
              </w:rPr>
              <w:t>否账实相符、账账相符。</w:t>
            </w:r>
          </w:p>
        </w:tc>
        <w:tc>
          <w:tcPr>
            <w:tcW w:w="419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1.负责现金保管和存取事项。每日办理完结现金收支业务后自盘现金余额并核对出纳账与保险柜现金是否账实相符、账账相符。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2.负责出纳账系统的登记。通过查询业务协同系统和会计信息化系统登记现金日记账、</w:t>
            </w:r>
            <w:r>
              <w:rPr>
                <w:rFonts w:hint="eastAsia" w:ascii="仿宋" w:hAnsi="仿宋" w:eastAsia="仿宋" w:cs="仿宋"/>
                <w:color w:val="000000" w:themeColor="text1"/>
                <w:w w:val="90"/>
                <w:sz w:val="24"/>
                <w:szCs w:val="24"/>
                <w:highlight w:val="none"/>
                <w:lang w:val="en-US" w:eastAsia="zh-CN"/>
                <w14:textFill>
                  <w14:solidFill>
                    <w14:schemeClr w14:val="tx1"/>
                  </w14:solidFill>
                </w14:textFill>
              </w:rPr>
              <w:t>银行存款日记账和其他备查账簿。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3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会计</w:t>
            </w:r>
          </w:p>
        </w:tc>
        <w:tc>
          <w:tcPr>
            <w:tcW w:w="325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负责业务协同系统中与本岗位相关的经济业务办理，主要处理除其他两个岗位办理的经济业务外的所有经济业务内容。</w:t>
            </w:r>
          </w:p>
        </w:tc>
        <w:tc>
          <w:tcPr>
            <w:tcW w:w="4199"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1.负责会计信息化系统会计科目、供应商、客户、部门、职员基础信息的维护；完成记账凭证的填制、期末结转损益和记账工作。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2.负责开票系统的发票开具。</w:t>
            </w:r>
          </w:p>
        </w:tc>
      </w:tr>
    </w:tbl>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29" w:name="_Toc31386"/>
      <w:bookmarkStart w:id="30" w:name="_Toc25735"/>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、课程设置及要求</w:t>
      </w:r>
      <w:bookmarkEnd w:id="29"/>
      <w:bookmarkEnd w:id="30"/>
    </w:p>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bookmarkStart w:id="31" w:name="_Toc12132"/>
      <w:bookmarkStart w:id="32" w:name="_Toc8029"/>
      <w:r>
        <w:rPr>
          <w:rFonts w:hint="eastAsia" w:ascii="楷体" w:hAnsi="楷体" w:eastAsia="楷体" w:cs="楷体"/>
          <w:b/>
          <w:bCs/>
          <w:color w:val="000000" w:themeColor="text1"/>
          <w:sz w:val="32"/>
          <w:szCs w:val="32"/>
          <w14:textFill>
            <w14:solidFill>
              <w14:schemeClr w14:val="tx1"/>
            </w14:solidFill>
          </w14:textFill>
        </w:rPr>
        <w:t>（一）公共基础课程</w:t>
      </w:r>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公共基础课程</w:t>
      </w:r>
      <w:r>
        <w:rPr>
          <w:rFonts w:hint="eastAsia" w:ascii="仿宋" w:hAnsi="仿宋" w:eastAsia="仿宋" w:cs="仿宋"/>
          <w:color w:val="000000" w:themeColor="text1"/>
          <w:sz w:val="32"/>
          <w:szCs w:val="32"/>
          <w:lang w:val="en-US" w:eastAsia="zh-CN"/>
          <w14:textFill>
            <w14:solidFill>
              <w14:schemeClr w14:val="tx1"/>
            </w14:solidFill>
          </w14:textFill>
        </w:rPr>
        <w:t>见表1-3。</w:t>
      </w:r>
    </w:p>
    <w:p>
      <w:pPr>
        <w:spacing w:line="560" w:lineRule="exact"/>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表1-3                    </w:t>
      </w:r>
      <w:r>
        <w:rPr>
          <w:rFonts w:hint="eastAsia" w:ascii="仿宋" w:hAnsi="仿宋" w:eastAsia="仿宋" w:cs="仿宋"/>
          <w:b w:val="0"/>
          <w:bCs w:val="0"/>
          <w:color w:val="000000" w:themeColor="text1"/>
          <w:sz w:val="28"/>
          <w:szCs w:val="28"/>
          <w14:textFill>
            <w14:solidFill>
              <w14:schemeClr w14:val="tx1"/>
            </w14:solidFill>
          </w14:textFill>
        </w:rPr>
        <w:t>公共基础课程</w:t>
      </w:r>
    </w:p>
    <w:tbl>
      <w:tblPr>
        <w:tblStyle w:val="10"/>
        <w:tblW w:w="8398" w:type="dxa"/>
        <w:jc w:val="center"/>
        <w:tblLayout w:type="autofit"/>
        <w:tblCellMar>
          <w:top w:w="0" w:type="dxa"/>
          <w:left w:w="108" w:type="dxa"/>
          <w:bottom w:w="0" w:type="dxa"/>
          <w:right w:w="108" w:type="dxa"/>
        </w:tblCellMar>
      </w:tblPr>
      <w:tblGrid>
        <w:gridCol w:w="729"/>
        <w:gridCol w:w="1185"/>
        <w:gridCol w:w="6484"/>
      </w:tblGrid>
      <w:tr>
        <w:tblPrEx>
          <w:tblCellMar>
            <w:top w:w="0" w:type="dxa"/>
            <w:left w:w="108" w:type="dxa"/>
            <w:bottom w:w="0" w:type="dxa"/>
            <w:right w:w="108" w:type="dxa"/>
          </w:tblCellMar>
        </w:tblPrEx>
        <w:trPr>
          <w:trHeight w:val="441"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212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数学</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依据《中等职业学校数学课程标准(2020年版)》开设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通过本课程学习，使学生</w:t>
            </w:r>
            <w:r>
              <w:rPr>
                <w:rFonts w:hint="eastAsia" w:ascii="仿宋" w:hAnsi="仿宋" w:eastAsia="仿宋" w:cs="仿宋"/>
                <w:color w:val="000000"/>
                <w:kern w:val="0"/>
                <w:sz w:val="24"/>
                <w:szCs w:val="24"/>
                <w:lang w:val="en-US" w:eastAsia="zh-CN" w:bidi="ar"/>
              </w:rPr>
              <w:t>获得进一步学习和</w:t>
            </w:r>
            <w:r>
              <w:rPr>
                <w:rFonts w:hint="eastAsia" w:ascii="仿宋" w:hAnsi="仿宋" w:eastAsia="仿宋" w:cs="仿宋"/>
                <w:color w:val="000000"/>
                <w:kern w:val="0"/>
                <w:sz w:val="24"/>
                <w:szCs w:val="24"/>
                <w:lang w:bidi="ar"/>
              </w:rPr>
              <w:t>职业发展所必需的数学知识、数学技能、数学方法</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数学思想和</w:t>
            </w:r>
            <w:r>
              <w:rPr>
                <w:rFonts w:hint="eastAsia" w:ascii="仿宋" w:hAnsi="仿宋" w:eastAsia="仿宋" w:cs="仿宋"/>
                <w:color w:val="000000"/>
                <w:kern w:val="0"/>
                <w:sz w:val="24"/>
                <w:szCs w:val="24"/>
                <w:lang w:val="en-US" w:eastAsia="zh-CN" w:bidi="ar"/>
              </w:rPr>
              <w:t>活动经验</w:t>
            </w:r>
            <w:r>
              <w:rPr>
                <w:rFonts w:hint="eastAsia" w:ascii="仿宋" w:hAnsi="仿宋" w:eastAsia="仿宋" w:cs="仿宋"/>
                <w:color w:val="000000"/>
                <w:kern w:val="0"/>
                <w:sz w:val="24"/>
                <w:szCs w:val="24"/>
                <w:lang w:bidi="ar"/>
              </w:rPr>
              <w:t>，具备中等职业教育数学学科核心素养，形成在继续学习和未来工作中运用数学知识和经验发现问题的意识、运用数学的思想方法和工具解决问题的能力。</w:t>
            </w:r>
          </w:p>
        </w:tc>
      </w:tr>
      <w:tr>
        <w:tblPrEx>
          <w:tblCellMar>
            <w:top w:w="0" w:type="dxa"/>
            <w:left w:w="108" w:type="dxa"/>
            <w:bottom w:w="0" w:type="dxa"/>
            <w:right w:w="108" w:type="dxa"/>
          </w:tblCellMar>
        </w:tblPrEx>
        <w:trPr>
          <w:trHeight w:val="190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语文</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依据《中等职业学校语文课程标准(2020年版)》开设。通过阅读与欣赏、表达与交流和语文综合实践等学习活动，使学生具有较强的语言文字运用能力和思维能力，能够传承中华民族优秀</w:t>
            </w:r>
            <w:r>
              <w:rPr>
                <w:rFonts w:hint="eastAsia" w:ascii="仿宋" w:hAnsi="仿宋" w:eastAsia="仿宋" w:cs="仿宋"/>
                <w:color w:val="000000"/>
                <w:kern w:val="0"/>
                <w:sz w:val="24"/>
                <w:szCs w:val="24"/>
                <w:lang w:val="en-US" w:eastAsia="zh-CN" w:bidi="ar"/>
              </w:rPr>
              <w:t>文化</w:t>
            </w:r>
            <w:r>
              <w:rPr>
                <w:rFonts w:hint="eastAsia" w:ascii="仿宋" w:hAnsi="仿宋" w:eastAsia="仿宋" w:cs="仿宋"/>
                <w:color w:val="000000"/>
                <w:kern w:val="0"/>
                <w:sz w:val="24"/>
                <w:szCs w:val="24"/>
                <w:lang w:bidi="ar"/>
              </w:rPr>
              <w:t>，吸收人类进步文化，提高人文素养，养成良好道德品质，成为全面发展的高素质技能技术人才</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1845"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英语</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依据《中等职业学校语英语课程标准(2020年版)》开设。通过本课程学习，使学生掌握一定的英语基础知识</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提高听、说、读、写等语言技能，</w:t>
            </w:r>
            <w:r>
              <w:rPr>
                <w:rFonts w:hint="eastAsia" w:ascii="仿宋" w:hAnsi="仿宋" w:eastAsia="仿宋" w:cs="仿宋"/>
                <w:color w:val="000000"/>
                <w:kern w:val="0"/>
                <w:sz w:val="24"/>
                <w:szCs w:val="24"/>
                <w:lang w:bidi="ar"/>
              </w:rPr>
              <w:t>培养学生在日常生活和职业场景中的英语应用能力</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val="en-US" w:eastAsia="zh-CN" w:bidi="ar"/>
              </w:rPr>
              <w:t>发展英语学科核心素养，为</w:t>
            </w:r>
            <w:r>
              <w:rPr>
                <w:rFonts w:hint="eastAsia" w:ascii="仿宋" w:hAnsi="仿宋" w:eastAsia="仿宋" w:cs="仿宋"/>
                <w:color w:val="000000"/>
                <w:kern w:val="0"/>
                <w:sz w:val="24"/>
                <w:szCs w:val="24"/>
                <w:lang w:bidi="ar"/>
              </w:rPr>
              <w:t>学生的职业生涯、继续学习和终身发展莫定基础</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160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信息技术</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依据《中等职业学校信息技术课程标准(2020 年版)》开设。通过本课程学习，使学生掌握必备的计算机应用基础知识和基本技能，</w:t>
            </w:r>
            <w:r>
              <w:rPr>
                <w:rFonts w:hint="eastAsia" w:ascii="仿宋" w:hAnsi="仿宋" w:eastAsia="仿宋" w:cs="仿宋"/>
                <w:color w:val="000000"/>
                <w:w w:val="100"/>
                <w:kern w:val="0"/>
                <w:sz w:val="24"/>
                <w:szCs w:val="24"/>
                <w:lang w:bidi="ar"/>
              </w:rPr>
              <w:t>培养学生</w:t>
            </w:r>
            <w:r>
              <w:rPr>
                <w:rFonts w:hint="eastAsia" w:ascii="仿宋" w:hAnsi="仿宋" w:eastAsia="仿宋" w:cs="仿宋"/>
                <w:color w:val="000000"/>
                <w:w w:val="100"/>
                <w:kern w:val="0"/>
                <w:sz w:val="24"/>
                <w:szCs w:val="24"/>
                <w:lang w:val="en-US" w:eastAsia="zh-CN" w:bidi="ar"/>
              </w:rPr>
              <w:t>符合时代要求的信息素养和适应职业发展需要的信息能力。</w:t>
            </w:r>
          </w:p>
        </w:tc>
      </w:tr>
      <w:tr>
        <w:tblPrEx>
          <w:tblCellMar>
            <w:top w:w="0" w:type="dxa"/>
            <w:left w:w="108" w:type="dxa"/>
            <w:bottom w:w="0" w:type="dxa"/>
            <w:right w:w="108" w:type="dxa"/>
          </w:tblCellMar>
        </w:tblPrEx>
        <w:trPr>
          <w:trHeight w:val="160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中国特色社会主义</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理解中国特色社会主义理论体系的基本内容和科学方法，帮助学生正确理解这一理论体系基本理论观点，深刻理解党在社会主义初级阶段的基本路线、基本纲领和基本要求，准确把握建设中国特色社会主义的总依据、总任务和总布局，坚定在党的领导下走中国特色社会主义道路的理想信念，为全面建成小康社会、实现中华民族伟大复兴而努力奋斗。</w:t>
            </w:r>
          </w:p>
        </w:tc>
      </w:tr>
      <w:tr>
        <w:tblPrEx>
          <w:tblCellMar>
            <w:top w:w="0" w:type="dxa"/>
            <w:left w:w="108" w:type="dxa"/>
            <w:bottom w:w="0" w:type="dxa"/>
            <w:right w:w="108" w:type="dxa"/>
          </w:tblCellMar>
        </w:tblPrEx>
        <w:trPr>
          <w:trHeight w:val="2698"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心理健康与职业生涯</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心理健康的基本知识、方法和意识的教育，帮助学生正确处理成长、学习、生活和求职就业中遇到的心理行为问题，促进其身心和谐健康发展。引导学生树立正确的职业观念和职业理想，学会根据社会需要和自身特点进行职业生涯规划，并以此规范和调整自己的行为，为顺利就业创业创造条件。</w:t>
            </w:r>
          </w:p>
        </w:tc>
      </w:tr>
      <w:tr>
        <w:tblPrEx>
          <w:tblCellMar>
            <w:top w:w="0" w:type="dxa"/>
            <w:left w:w="108" w:type="dxa"/>
            <w:bottom w:w="0" w:type="dxa"/>
            <w:right w:w="108" w:type="dxa"/>
          </w:tblCellMar>
        </w:tblPrEx>
        <w:trPr>
          <w:trHeight w:val="2201"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哲学与人生</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马克思主义哲学基本观点和方法，帮助学生学习运用辩证唯物主义和历史唯物主义的观点和方法，正确看待自然、社会的发展，正确认识和处理人生发展中的基本问题，树立和追求崇高理想，逐步形成正确的世界观、人生观和价值观。</w:t>
            </w:r>
          </w:p>
        </w:tc>
      </w:tr>
      <w:tr>
        <w:tblPrEx>
          <w:tblCellMar>
            <w:top w:w="0" w:type="dxa"/>
            <w:left w:w="108" w:type="dxa"/>
            <w:bottom w:w="0" w:type="dxa"/>
            <w:right w:w="108" w:type="dxa"/>
          </w:tblCellMar>
        </w:tblPrEx>
        <w:trPr>
          <w:trHeight w:val="157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职业道德与法治</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依据《中等职业学校思想政治课程标准 (2020年版)》开设。通过本课程学习，使学生掌握职业道德的作用和基本规范，增强职业道德和法治意识，养成爱岗敬业、依法办事的思维方式和行为习惯</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成为懂法、守法、用法的公民。</w:t>
            </w:r>
          </w:p>
        </w:tc>
      </w:tr>
      <w:tr>
        <w:tblPrEx>
          <w:tblCellMar>
            <w:top w:w="0" w:type="dxa"/>
            <w:left w:w="108" w:type="dxa"/>
            <w:bottom w:w="0" w:type="dxa"/>
            <w:right w:w="108" w:type="dxa"/>
          </w:tblCellMar>
        </w:tblPrEx>
        <w:trPr>
          <w:trHeight w:val="1965"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体育与健康</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体育与健康课程标准(2020年版)》开设。通过本课程学习，使学生掌握体育基本理论知识、技术、技能和科学锻炼身体的方法，培养自主锻炼、自我保健、自我评价和自我调控的意识,全面提高身心素质和社会适应能力，为终身锻炼、继续学习与创业立业奠定基础。</w:t>
            </w:r>
          </w:p>
        </w:tc>
      </w:tr>
      <w:tr>
        <w:tblPrEx>
          <w:tblCellMar>
            <w:top w:w="0" w:type="dxa"/>
            <w:left w:w="108" w:type="dxa"/>
            <w:bottom w:w="0" w:type="dxa"/>
            <w:right w:w="108" w:type="dxa"/>
          </w:tblCellMar>
        </w:tblPrEx>
        <w:trPr>
          <w:trHeight w:val="2006"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highlight w:val="yellow"/>
              </w:rPr>
            </w:pPr>
            <w:r>
              <w:rPr>
                <w:rFonts w:hint="eastAsia" w:ascii="仿宋" w:hAnsi="仿宋" w:eastAsia="仿宋" w:cs="仿宋"/>
                <w:color w:val="000000"/>
                <w:kern w:val="0"/>
                <w:sz w:val="24"/>
                <w:szCs w:val="24"/>
                <w:highlight w:val="none"/>
                <w:lang w:bidi="ar"/>
              </w:rPr>
              <w:t>历史</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依据《中等职业学校历史课程标准(2020 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通过本课程学习，使学生了解人类社会发展的基本脉络和优秀文化传统，从历史的角度了解和思考人与人</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人与社会、人与自然的关系，增强历史使命感和社会责任感;培育社会主义核心价值观，进一步弘扬以爱国主义为核心的民族精神和以改革创新为核心的时代精神</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培养健全的人格，树立正确的历史观、人生观和价值观，为中等职业学校学生未来的学习、工作和生活打下基础。</w:t>
            </w:r>
          </w:p>
        </w:tc>
      </w:tr>
      <w:tr>
        <w:tblPrEx>
          <w:tblCellMar>
            <w:top w:w="0" w:type="dxa"/>
            <w:left w:w="108" w:type="dxa"/>
            <w:bottom w:w="0" w:type="dxa"/>
            <w:right w:w="108" w:type="dxa"/>
          </w:tblCellMar>
        </w:tblPrEx>
        <w:trPr>
          <w:trHeight w:val="160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音乐欣赏</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依据《中等职业学校艺术课程标准(2020年版)》开设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学生通过聆听中外经典音乐作品，参与音乐鉴赏与实践活动，认识音乐的基本功能与作用，获得精神愉悦，提高审美情趣和音乐实践能力。</w:t>
            </w:r>
          </w:p>
        </w:tc>
      </w:tr>
      <w:tr>
        <w:tblPrEx>
          <w:tblCellMar>
            <w:top w:w="0" w:type="dxa"/>
            <w:left w:w="108" w:type="dxa"/>
            <w:bottom w:w="0" w:type="dxa"/>
            <w:right w:w="108" w:type="dxa"/>
          </w:tblCellMar>
        </w:tblPrEx>
        <w:trPr>
          <w:trHeight w:val="2006"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美术欣赏</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依据《中等职业学校艺术课程标准(2020年版)》开设</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学生通过观察、体验、赏析、评判等活动，学习美术知识和技能，欣赏美术作品，了解作品主题，感悟作品情感，理解作品内涵，认识美术的基本功能与作用，提高审美情趣和美术实践能力。</w:t>
            </w:r>
          </w:p>
        </w:tc>
      </w:tr>
      <w:tr>
        <w:tblPrEx>
          <w:tblCellMar>
            <w:top w:w="0" w:type="dxa"/>
            <w:left w:w="108" w:type="dxa"/>
            <w:bottom w:w="0" w:type="dxa"/>
            <w:right w:w="108" w:type="dxa"/>
          </w:tblCellMar>
        </w:tblPrEx>
        <w:trPr>
          <w:trHeight w:val="787"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书法</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通过本课程学习，使学生了解汉字的结构规律，养成良好的书写习惯,写得一手好字。</w:t>
            </w:r>
          </w:p>
        </w:tc>
      </w:tr>
      <w:tr>
        <w:tblPrEx>
          <w:tblCellMar>
            <w:top w:w="0" w:type="dxa"/>
            <w:left w:w="108" w:type="dxa"/>
            <w:bottom w:w="0" w:type="dxa"/>
            <w:right w:w="108" w:type="dxa"/>
          </w:tblCellMar>
        </w:tblPrEx>
        <w:trPr>
          <w:trHeight w:val="1208"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礼乐修身</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通过本课程学习，使学生掌握中外礼仪基本概况及礼仪的核心精神，使学生成为有教养、有修养、有素养、有涵养的合格职业人。</w:t>
            </w:r>
          </w:p>
        </w:tc>
      </w:tr>
      <w:tr>
        <w:tblPrEx>
          <w:tblCellMar>
            <w:top w:w="0" w:type="dxa"/>
            <w:left w:w="108" w:type="dxa"/>
            <w:bottom w:w="0" w:type="dxa"/>
            <w:right w:w="108" w:type="dxa"/>
          </w:tblCellMar>
        </w:tblPrEx>
        <w:trPr>
          <w:trHeight w:val="1620" w:hRule="atLeast"/>
          <w:jc w:val="center"/>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劳动教育</w:t>
            </w:r>
          </w:p>
        </w:tc>
        <w:tc>
          <w:tcPr>
            <w:tcW w:w="6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劳动教育以实习实训课为主要载体开展</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通过劳动精神、劳模精神</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工匠精神</w:t>
            </w:r>
            <w:r>
              <w:rPr>
                <w:rFonts w:hint="eastAsia" w:ascii="仿宋" w:hAnsi="仿宋" w:eastAsia="仿宋" w:cs="仿宋"/>
                <w:color w:val="000000"/>
                <w:kern w:val="0"/>
                <w:sz w:val="24"/>
                <w:szCs w:val="24"/>
                <w:lang w:val="en-US" w:eastAsia="zh-CN" w:bidi="ar"/>
              </w:rPr>
              <w:t>等</w:t>
            </w:r>
            <w:r>
              <w:rPr>
                <w:rFonts w:hint="eastAsia" w:ascii="仿宋" w:hAnsi="仿宋" w:eastAsia="仿宋" w:cs="仿宋"/>
                <w:color w:val="000000"/>
                <w:kern w:val="0"/>
                <w:sz w:val="24"/>
                <w:szCs w:val="24"/>
                <w:lang w:bidi="ar"/>
              </w:rPr>
              <w:t>专题教育学习，使学生</w:t>
            </w:r>
            <w:r>
              <w:rPr>
                <w:rFonts w:hint="eastAsia" w:ascii="仿宋" w:hAnsi="仿宋" w:eastAsia="仿宋" w:cs="仿宋"/>
                <w:i w:val="0"/>
                <w:iCs w:val="0"/>
                <w:color w:val="000000"/>
                <w:kern w:val="0"/>
                <w:sz w:val="24"/>
                <w:szCs w:val="24"/>
                <w:u w:val="none"/>
                <w:lang w:val="en-US" w:eastAsia="zh-CN" w:bidi="ar"/>
              </w:rPr>
              <w:t>在劳动中接受锻炼、磨炼意志，懂得劳动创造美好生活的道理，并培养良好的劳动品质。</w:t>
            </w:r>
          </w:p>
        </w:tc>
      </w:tr>
    </w:tbl>
    <w:p>
      <w:pPr>
        <w:numPr>
          <w:ilvl w:val="0"/>
          <w:numId w:val="1"/>
        </w:numPr>
        <w:spacing w:line="560" w:lineRule="exact"/>
        <w:ind w:firstLine="643" w:firstLineChars="200"/>
        <w:jc w:val="left"/>
        <w:outlineLvl w:val="1"/>
        <w:rPr>
          <w:rFonts w:ascii="楷体" w:hAnsi="楷体" w:eastAsia="楷体" w:cs="楷体"/>
          <w:b/>
          <w:bCs/>
          <w:color w:val="000000" w:themeColor="text1"/>
          <w:sz w:val="32"/>
          <w:szCs w:val="32"/>
          <w14:textFill>
            <w14:solidFill>
              <w14:schemeClr w14:val="tx1"/>
            </w14:solidFill>
          </w14:textFill>
        </w:rPr>
      </w:pPr>
      <w:bookmarkStart w:id="33" w:name="_Toc28304"/>
      <w:bookmarkStart w:id="34" w:name="_Toc20494"/>
      <w:r>
        <w:rPr>
          <w:rFonts w:hint="eastAsia" w:ascii="楷体" w:hAnsi="楷体" w:eastAsia="楷体" w:cs="楷体"/>
          <w:b/>
          <w:bCs/>
          <w:color w:val="000000" w:themeColor="text1"/>
          <w:sz w:val="32"/>
          <w:szCs w:val="32"/>
          <w14:textFill>
            <w14:solidFill>
              <w14:schemeClr w14:val="tx1"/>
            </w14:solidFill>
          </w14:textFill>
        </w:rPr>
        <w:t>专业（技能）课程</w:t>
      </w:r>
      <w:bookmarkEnd w:id="33"/>
      <w:bookmarkEnd w:id="34"/>
    </w:p>
    <w:p>
      <w:pPr>
        <w:spacing w:line="560" w:lineRule="exact"/>
        <w:ind w:firstLine="643" w:firstLineChars="200"/>
        <w:jc w:val="left"/>
        <w:outlineLvl w:val="2"/>
        <w:rPr>
          <w:rFonts w:hint="eastAsia" w:ascii="仿宋" w:hAnsi="仿宋" w:eastAsia="仿宋" w:cs="仿宋"/>
          <w:b/>
          <w:bCs/>
          <w:color w:val="000000" w:themeColor="text1"/>
          <w:sz w:val="32"/>
          <w:szCs w:val="32"/>
          <w:lang w:eastAsia="zh-CN"/>
          <w14:textFill>
            <w14:solidFill>
              <w14:schemeClr w14:val="tx1"/>
            </w14:solidFill>
          </w14:textFill>
        </w:rPr>
      </w:pPr>
      <w:bookmarkStart w:id="35" w:name="_Toc22718"/>
      <w:bookmarkStart w:id="36" w:name="_Toc26998"/>
      <w:r>
        <w:rPr>
          <w:rFonts w:hint="eastAsia" w:ascii="仿宋" w:hAnsi="仿宋" w:eastAsia="仿宋" w:cs="仿宋"/>
          <w:b/>
          <w:bCs/>
          <w:color w:val="000000" w:themeColor="text1"/>
          <w:sz w:val="32"/>
          <w:szCs w:val="32"/>
          <w14:textFill>
            <w14:solidFill>
              <w14:schemeClr w14:val="tx1"/>
            </w14:solidFill>
          </w14:textFill>
        </w:rPr>
        <w:t>1.专业理论课程</w:t>
      </w:r>
      <w:bookmarkEnd w:id="35"/>
      <w:bookmarkEnd w:id="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专业理论课程见表1-4。</w:t>
      </w:r>
    </w:p>
    <w:p>
      <w:pPr>
        <w:spacing w:line="560" w:lineRule="exact"/>
        <w:jc w:val="left"/>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表1-4                    专业理论课程</w:t>
      </w:r>
    </w:p>
    <w:tbl>
      <w:tblPr>
        <w:tblStyle w:val="10"/>
        <w:tblW w:w="8598" w:type="dxa"/>
        <w:jc w:val="center"/>
        <w:tblLayout w:type="autofit"/>
        <w:tblCellMar>
          <w:top w:w="0" w:type="dxa"/>
          <w:left w:w="108" w:type="dxa"/>
          <w:bottom w:w="0" w:type="dxa"/>
          <w:right w:w="108" w:type="dxa"/>
        </w:tblCellMar>
      </w:tblPr>
      <w:tblGrid>
        <w:gridCol w:w="856"/>
        <w:gridCol w:w="2044"/>
        <w:gridCol w:w="5698"/>
      </w:tblGrid>
      <w:tr>
        <w:tblPrEx>
          <w:tblCellMar>
            <w:top w:w="0" w:type="dxa"/>
            <w:left w:w="108" w:type="dxa"/>
            <w:bottom w:w="0" w:type="dxa"/>
            <w:right w:w="108" w:type="dxa"/>
          </w:tblCellMar>
        </w:tblPrEx>
        <w:trPr>
          <w:trHeight w:val="46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2021"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会计基础</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掌握会计的职能、特点、对象及会计核算基本前提等基本理论。掌握会计要素、会计等式、会计科目和借贷记账法等基本知识。能够填制会计凭证、登记会计账簿、编制会计报表。使学生具备学习后续专业课程的专业基础能力，同时注重培养学生的会计基本职业素养。</w:t>
            </w:r>
          </w:p>
        </w:tc>
      </w:tr>
      <w:tr>
        <w:tblPrEx>
          <w:tblCellMar>
            <w:top w:w="0" w:type="dxa"/>
            <w:left w:w="108" w:type="dxa"/>
            <w:bottom w:w="0" w:type="dxa"/>
            <w:right w:w="108" w:type="dxa"/>
          </w:tblCellMar>
        </w:tblPrEx>
        <w:trPr>
          <w:trHeight w:val="772"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企业财务会计</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课程主要内容包括：核算资金筹集业务；核算出纳业务；核算采购与应付业务；核算销售与应收业务；核算固定资产和无形资产业务；核算职工薪筹业务；核算与控制期间费用；核算财务成果；编制会计报表。通过课程的学习，能进行筹资、采购与应付、销售与应收、固定资产增减和折旧、无形资产增减和摊销、薪酬计算、现金日常盘点、报销、费用、利润及利润分配等业务的账务处理；会编制资产负债表和利润表。</w:t>
            </w:r>
          </w:p>
        </w:tc>
      </w:tr>
      <w:tr>
        <w:tblPrEx>
          <w:tblCellMar>
            <w:top w:w="0" w:type="dxa"/>
            <w:left w:w="108" w:type="dxa"/>
            <w:bottom w:w="0" w:type="dxa"/>
            <w:right w:w="108" w:type="dxa"/>
          </w:tblCellMar>
        </w:tblPrEx>
        <w:trPr>
          <w:trHeight w:val="793"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税收基础</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会办理增值税、消费税、个人所得税、企业所得税等税种的计算、申报和缴纳。</w:t>
            </w:r>
          </w:p>
        </w:tc>
      </w:tr>
      <w:tr>
        <w:tblPrEx>
          <w:tblCellMar>
            <w:top w:w="0" w:type="dxa"/>
            <w:left w:w="108" w:type="dxa"/>
            <w:bottom w:w="0" w:type="dxa"/>
            <w:right w:w="108" w:type="dxa"/>
          </w:tblCellMar>
        </w:tblPrEx>
        <w:trPr>
          <w:trHeight w:val="1261"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财经法规与会计职业道德</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能够识记、理解和辨析会计法律法规、支付结算法律制度、税收征管法律法规等主要条款内容，使学生明辨违背职业道德的财经行为。 </w:t>
            </w:r>
          </w:p>
        </w:tc>
      </w:tr>
      <w:tr>
        <w:tblPrEx>
          <w:tblCellMar>
            <w:top w:w="0" w:type="dxa"/>
            <w:left w:w="108" w:type="dxa"/>
            <w:bottom w:w="0" w:type="dxa"/>
            <w:right w:w="108" w:type="dxa"/>
          </w:tblCellMar>
        </w:tblPrEx>
        <w:trPr>
          <w:trHeight w:val="3504"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电子票据技术应用</w:t>
            </w:r>
          </w:p>
        </w:tc>
        <w:tc>
          <w:tcPr>
            <w:tcW w:w="5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课程主要内容包括：电子票据的基础知识和分类方法；各类票据样式介绍；发票、结算票据的管理规定；增值税开票系统、增值税发票查验平台、增值税综合服务平台的基础操作；财务共享中心票据业务处理操作；电子票据的档案管理。通过本课程的学习，使学生全面掌握电子票据领购、开具、接收与整理、扫描与识别、查验、抵扣、归档等业务操作技能，培养学生严谨细致、精益求精的工匠精神。为后续专业核心课程和拓展课程中涉电子票据相关业务的学习打下坚实的基础。 </w:t>
            </w:r>
          </w:p>
        </w:tc>
      </w:tr>
    </w:tbl>
    <w:p>
      <w:pPr>
        <w:spacing w:line="560" w:lineRule="exact"/>
        <w:ind w:firstLine="643" w:firstLineChars="200"/>
        <w:jc w:val="left"/>
        <w:outlineLvl w:val="2"/>
        <w:rPr>
          <w:rFonts w:hint="eastAsia" w:ascii="仿宋" w:hAnsi="仿宋" w:eastAsia="仿宋" w:cs="仿宋"/>
          <w:b/>
          <w:bCs/>
          <w:color w:val="000000" w:themeColor="text1"/>
          <w:sz w:val="32"/>
          <w:szCs w:val="32"/>
          <w:lang w:eastAsia="zh-CN"/>
          <w14:textFill>
            <w14:solidFill>
              <w14:schemeClr w14:val="tx1"/>
            </w14:solidFill>
          </w14:textFill>
        </w:rPr>
      </w:pPr>
      <w:bookmarkStart w:id="37" w:name="_Toc18265"/>
      <w:bookmarkStart w:id="38" w:name="_Toc18550"/>
      <w:r>
        <w:rPr>
          <w:rFonts w:hint="eastAsia" w:ascii="仿宋" w:hAnsi="仿宋" w:eastAsia="仿宋" w:cs="仿宋"/>
          <w:b/>
          <w:bCs/>
          <w:color w:val="000000" w:themeColor="text1"/>
          <w:sz w:val="32"/>
          <w:szCs w:val="32"/>
          <w14:textFill>
            <w14:solidFill>
              <w14:schemeClr w14:val="tx1"/>
            </w14:solidFill>
          </w14:textFill>
        </w:rPr>
        <w:t>2.专业实训课程</w:t>
      </w:r>
      <w:bookmarkEnd w:id="37"/>
      <w:bookmarkEnd w:id="3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专业实训课程见表1-5。</w:t>
      </w:r>
    </w:p>
    <w:p>
      <w:pPr>
        <w:spacing w:line="560" w:lineRule="exact"/>
        <w:jc w:val="lef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表1-5                     专业实训课程</w:t>
      </w:r>
    </w:p>
    <w:tbl>
      <w:tblPr>
        <w:tblStyle w:val="10"/>
        <w:tblW w:w="8759" w:type="dxa"/>
        <w:jc w:val="center"/>
        <w:tblLayout w:type="fixed"/>
        <w:tblCellMar>
          <w:top w:w="0" w:type="dxa"/>
          <w:left w:w="108" w:type="dxa"/>
          <w:bottom w:w="0" w:type="dxa"/>
          <w:right w:w="108" w:type="dxa"/>
        </w:tblCellMar>
      </w:tblPr>
      <w:tblGrid>
        <w:gridCol w:w="878"/>
        <w:gridCol w:w="2124"/>
        <w:gridCol w:w="5757"/>
      </w:tblGrid>
      <w:tr>
        <w:tblPrEx>
          <w:tblCellMar>
            <w:top w:w="0" w:type="dxa"/>
            <w:left w:w="108" w:type="dxa"/>
            <w:bottom w:w="0" w:type="dxa"/>
            <w:right w:w="108" w:type="dxa"/>
          </w:tblCellMar>
        </w:tblPrEx>
        <w:trPr>
          <w:trHeight w:val="451"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1922"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财经技能</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加强会计数字书写技能、点钞技能、电子计算工具应用等会计基本技能和专业基础知识的学习，提高学生的基本专业素质，培差学生精益求精的工匠精神和吃苦耐劳的劳动精神，为学生从事会计相关工作莫定基础</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717"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bidi="ar"/>
              </w:rPr>
              <w:t>出纳</w:t>
            </w:r>
            <w:r>
              <w:rPr>
                <w:rFonts w:hint="eastAsia" w:ascii="仿宋" w:hAnsi="仿宋" w:eastAsia="仿宋" w:cs="仿宋"/>
                <w:color w:val="000000"/>
                <w:kern w:val="0"/>
                <w:sz w:val="24"/>
                <w:szCs w:val="24"/>
                <w:highlight w:val="none"/>
                <w:lang w:val="en-US" w:eastAsia="zh-CN" w:bidi="ar"/>
              </w:rPr>
              <w:t>与资金管理</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课程主要内容包括：审核资金收付业务流程；办理现金收付；办理银行结算；进行资金收付业务账务处理；实施现金盘点与银行对账；保管印鉴与票证；管理与供应商和客户往来账；编制资金报表等。通过课程的学习，能熟练操作收银设备工具，会处理账单卡券业务；会办理银行结算业务和利用第三方平台办理收付款手续；能规范、安全地保管现金、票据、印鉴等；了解银行对账RPA智能工具应用场景；会编制现金日报表、资金变动表、现金流量结余表等资金报表。</w:t>
            </w:r>
          </w:p>
        </w:tc>
      </w:tr>
      <w:tr>
        <w:tblPrEx>
          <w:tblCellMar>
            <w:top w:w="0" w:type="dxa"/>
            <w:left w:w="108" w:type="dxa"/>
            <w:bottom w:w="0" w:type="dxa"/>
            <w:right w:w="108" w:type="dxa"/>
          </w:tblCellMar>
        </w:tblPrEx>
        <w:trPr>
          <w:trHeight w:val="827"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企业财务会计实训</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完成一家小型制造</w:t>
            </w:r>
            <w:r>
              <w:rPr>
                <w:rFonts w:hint="eastAsia" w:ascii="仿宋" w:hAnsi="仿宋" w:eastAsia="仿宋" w:cs="仿宋"/>
                <w:color w:val="000000"/>
                <w:kern w:val="0"/>
                <w:sz w:val="24"/>
                <w:szCs w:val="24"/>
                <w:lang w:val="en-US" w:eastAsia="zh-CN" w:bidi="ar"/>
              </w:rPr>
              <w:t>业</w:t>
            </w:r>
            <w:r>
              <w:rPr>
                <w:rFonts w:hint="eastAsia" w:ascii="仿宋" w:hAnsi="仿宋" w:eastAsia="仿宋" w:cs="仿宋"/>
                <w:color w:val="000000"/>
                <w:kern w:val="0"/>
                <w:sz w:val="24"/>
                <w:szCs w:val="24"/>
                <w:lang w:bidi="ar"/>
              </w:rPr>
              <w:t>企业某一会计期间经济业务的模拟训练,初步接触企业经济业务会计核算全过程。</w:t>
            </w:r>
          </w:p>
        </w:tc>
      </w:tr>
      <w:tr>
        <w:tblPrEx>
          <w:tblCellMar>
            <w:top w:w="0" w:type="dxa"/>
            <w:left w:w="108" w:type="dxa"/>
            <w:bottom w:w="0" w:type="dxa"/>
            <w:right w:w="108" w:type="dxa"/>
          </w:tblCellMar>
        </w:tblPrEx>
        <w:trPr>
          <w:trHeight w:val="1048"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会计信息化</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借助</w:t>
            </w: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平台，实施会计账套管理初始工作；能熟练运用总账、报表、工资、固定资产等基本功能模块核算企业日常经济业务。</w:t>
            </w:r>
          </w:p>
        </w:tc>
      </w:tr>
      <w:tr>
        <w:tblPrEx>
          <w:tblCellMar>
            <w:top w:w="0" w:type="dxa"/>
            <w:left w:w="108" w:type="dxa"/>
            <w:bottom w:w="0" w:type="dxa"/>
            <w:right w:w="108" w:type="dxa"/>
          </w:tblCellMar>
        </w:tblPrEx>
        <w:trPr>
          <w:trHeight w:val="814"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税费计算与智能申报</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借助</w:t>
            </w: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平台，办理增值税、个人所得税、企业所得税、城市维护建设税等税种的计算、</w:t>
            </w:r>
            <w:r>
              <w:rPr>
                <w:rFonts w:hint="eastAsia" w:ascii="仿宋" w:hAnsi="仿宋" w:eastAsia="仿宋" w:cs="仿宋"/>
                <w:color w:val="000000"/>
                <w:kern w:val="0"/>
                <w:sz w:val="24"/>
                <w:szCs w:val="24"/>
                <w:lang w:val="en-US" w:eastAsia="zh-CN" w:bidi="ar"/>
              </w:rPr>
              <w:t>智能</w:t>
            </w:r>
            <w:r>
              <w:rPr>
                <w:rFonts w:hint="eastAsia" w:ascii="仿宋" w:hAnsi="仿宋" w:eastAsia="仿宋" w:cs="仿宋"/>
                <w:color w:val="000000"/>
                <w:kern w:val="0"/>
                <w:sz w:val="24"/>
                <w:szCs w:val="24"/>
                <w:lang w:bidi="ar"/>
              </w:rPr>
              <w:t>申报和缴纳。</w:t>
            </w:r>
          </w:p>
        </w:tc>
      </w:tr>
      <w:tr>
        <w:tblPrEx>
          <w:tblCellMar>
            <w:top w:w="0" w:type="dxa"/>
            <w:left w:w="108" w:type="dxa"/>
            <w:bottom w:w="0" w:type="dxa"/>
            <w:right w:w="108" w:type="dxa"/>
          </w:tblCellMar>
        </w:tblPrEx>
        <w:trPr>
          <w:trHeight w:val="1538"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财务数据</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分析</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依托大数据分析平台</w:t>
            </w:r>
            <w:r>
              <w:rPr>
                <w:rFonts w:hint="eastAsia" w:ascii="仿宋" w:hAnsi="仿宋" w:eastAsia="仿宋" w:cs="仿宋"/>
                <w:color w:val="000000"/>
                <w:kern w:val="0"/>
                <w:sz w:val="24"/>
                <w:szCs w:val="24"/>
                <w:lang w:val="en-US" w:eastAsia="zh-CN" w:bidi="ar"/>
              </w:rPr>
              <w:t>和Excel常用功能对公司经</w:t>
            </w:r>
            <w:r>
              <w:rPr>
                <w:rFonts w:hint="eastAsia" w:ascii="仿宋" w:hAnsi="仿宋" w:eastAsia="仿宋" w:cs="仿宋"/>
                <w:color w:val="000000"/>
                <w:kern w:val="0"/>
                <w:sz w:val="24"/>
                <w:szCs w:val="24"/>
                <w:lang w:bidi="ar"/>
              </w:rPr>
              <w:t>营、财务、行业数据</w:t>
            </w:r>
            <w:r>
              <w:rPr>
                <w:rFonts w:hint="eastAsia" w:ascii="仿宋" w:hAnsi="仿宋" w:eastAsia="仿宋" w:cs="仿宋"/>
                <w:color w:val="000000"/>
                <w:kern w:val="0"/>
                <w:sz w:val="24"/>
                <w:szCs w:val="24"/>
                <w:lang w:val="en-US" w:eastAsia="zh-CN" w:bidi="ar"/>
              </w:rPr>
              <w:t>进行</w:t>
            </w:r>
            <w:r>
              <w:rPr>
                <w:rFonts w:hint="eastAsia" w:ascii="仿宋" w:hAnsi="仿宋" w:eastAsia="仿宋" w:cs="仿宋"/>
                <w:color w:val="000000"/>
                <w:kern w:val="0"/>
                <w:sz w:val="24"/>
                <w:szCs w:val="24"/>
                <w:lang w:bidi="ar"/>
              </w:rPr>
              <w:t>搜集整理，解读财务报表，为企业经营管控提供依据</w:t>
            </w:r>
            <w:r>
              <w:rPr>
                <w:rFonts w:hint="eastAsia" w:ascii="仿宋" w:hAnsi="仿宋" w:eastAsia="仿宋" w:cs="仿宋"/>
                <w:color w:val="000000"/>
                <w:kern w:val="0"/>
                <w:sz w:val="24"/>
                <w:szCs w:val="24"/>
                <w:lang w:eastAsia="zh-CN" w:bidi="ar"/>
              </w:rPr>
              <w:t>。</w:t>
            </w:r>
          </w:p>
        </w:tc>
      </w:tr>
      <w:tr>
        <w:tblPrEx>
          <w:tblCellMar>
            <w:top w:w="0" w:type="dxa"/>
            <w:left w:w="108" w:type="dxa"/>
            <w:bottom w:w="0" w:type="dxa"/>
            <w:right w:w="108" w:type="dxa"/>
          </w:tblCellMar>
        </w:tblPrEx>
        <w:trPr>
          <w:trHeight w:val="1267"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业财税</w:t>
            </w:r>
            <w:r>
              <w:rPr>
                <w:rFonts w:hint="eastAsia" w:ascii="仿宋" w:hAnsi="仿宋" w:eastAsia="仿宋" w:cs="仿宋"/>
                <w:color w:val="000000"/>
                <w:kern w:val="0"/>
                <w:sz w:val="24"/>
                <w:szCs w:val="24"/>
                <w:highlight w:val="none"/>
                <w:lang w:bidi="ar"/>
              </w:rPr>
              <w:t>综合实训</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实训</w:t>
            </w:r>
            <w:r>
              <w:rPr>
                <w:rFonts w:hint="eastAsia" w:ascii="仿宋" w:hAnsi="仿宋" w:eastAsia="仿宋" w:cs="仿宋"/>
                <w:color w:val="000000"/>
                <w:kern w:val="0"/>
                <w:sz w:val="24"/>
                <w:szCs w:val="24"/>
                <w:lang w:bidi="ar"/>
              </w:rPr>
              <w:t>平台将业务、账务、税务融合成一个整体,以经济业务发生为主线，将财务各项工作结合起来，实现流程串联、数据共联、逻辑通联、操作互联,多元化培养学生财税相关技能。</w:t>
            </w:r>
          </w:p>
        </w:tc>
      </w:tr>
      <w:tr>
        <w:tblPrEx>
          <w:tblCellMar>
            <w:top w:w="0" w:type="dxa"/>
            <w:left w:w="108" w:type="dxa"/>
            <w:bottom w:w="0" w:type="dxa"/>
            <w:right w:w="108" w:type="dxa"/>
          </w:tblCellMar>
        </w:tblPrEx>
        <w:trPr>
          <w:trHeight w:val="1856"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财务共享服务</w:t>
            </w:r>
            <w:r>
              <w:rPr>
                <w:rFonts w:hint="eastAsia" w:ascii="仿宋" w:hAnsi="仿宋" w:eastAsia="仿宋" w:cs="仿宋"/>
                <w:color w:val="000000"/>
                <w:kern w:val="0"/>
                <w:sz w:val="24"/>
                <w:szCs w:val="24"/>
                <w:lang w:val="en-US" w:eastAsia="zh-CN" w:bidi="ar"/>
              </w:rPr>
              <w:t>/</w:t>
            </w:r>
            <w:r>
              <w:rPr>
                <w:rFonts w:hint="eastAsia" w:ascii="仿宋" w:hAnsi="仿宋" w:eastAsia="仿宋" w:cs="仿宋"/>
                <w:color w:val="000000"/>
                <w:kern w:val="0"/>
                <w:sz w:val="24"/>
                <w:szCs w:val="24"/>
                <w:lang w:bidi="ar"/>
              </w:rPr>
              <w:t>财务数字化应用</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应用智能财务系统进行经济业务审核、会计确认、计量和报告，应用智能财税系统进行各种税费计算与申报、认证、发票开具等。培养学生财务数字化平台协同应用能力、对外协调沟通能力、内部风险应变能力和经济业务数字化处理能力。</w:t>
            </w:r>
          </w:p>
        </w:tc>
      </w:tr>
      <w:tr>
        <w:tblPrEx>
          <w:tblCellMar>
            <w:top w:w="0" w:type="dxa"/>
            <w:left w:w="108" w:type="dxa"/>
            <w:bottom w:w="0" w:type="dxa"/>
            <w:right w:w="108" w:type="dxa"/>
          </w:tblCellMar>
        </w:tblPrEx>
        <w:trPr>
          <w:trHeight w:val="2657" w:hRule="atLeast"/>
          <w:jc w:val="center"/>
        </w:trPr>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财务机器人</w:t>
            </w:r>
            <w:r>
              <w:rPr>
                <w:rFonts w:hint="eastAsia" w:ascii="仿宋" w:hAnsi="仿宋" w:eastAsia="仿宋" w:cs="仿宋"/>
                <w:color w:val="000000"/>
                <w:w w:val="90"/>
                <w:sz w:val="24"/>
                <w:szCs w:val="24"/>
                <w:highlight w:val="none"/>
              </w:rPr>
              <w:t>智能核算应用</w:t>
            </w:r>
          </w:p>
        </w:tc>
        <w:tc>
          <w:tcPr>
            <w:tcW w:w="5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val="en-US" w:eastAsia="zh-CN" w:bidi="ar"/>
              </w:rPr>
              <w:t xml:space="preserve">课程的主要内容包括认知 RPA 技术的应用原理，了解 RPA 技术在财务中创新应用的工作场景和工作过程，熟悉财务机器人软件使用的相关业务流程。通过本课程学习，学生能够能初步应用财务机器人软件的基本功能，掌握和运用智能工具开展相关工作，完成发票业务处理等典型财务工作场景的自动化处理，提高解决实际问题的能力和综合素养。 </w:t>
            </w:r>
          </w:p>
        </w:tc>
      </w:tr>
    </w:tbl>
    <w:p>
      <w:pPr>
        <w:spacing w:line="560" w:lineRule="exact"/>
        <w:ind w:firstLine="643" w:firstLineChars="200"/>
        <w:jc w:val="left"/>
        <w:outlineLvl w:val="2"/>
        <w:rPr>
          <w:rFonts w:hint="eastAsia" w:ascii="仿宋" w:hAnsi="仿宋" w:eastAsia="仿宋" w:cs="仿宋"/>
          <w:b/>
          <w:bCs/>
          <w:color w:val="000000" w:themeColor="text1"/>
          <w:sz w:val="32"/>
          <w:szCs w:val="32"/>
          <w:lang w:eastAsia="zh-CN"/>
          <w14:textFill>
            <w14:solidFill>
              <w14:schemeClr w14:val="tx1"/>
            </w14:solidFill>
          </w14:textFill>
        </w:rPr>
      </w:pPr>
      <w:bookmarkStart w:id="39" w:name="_Toc4491"/>
      <w:bookmarkStart w:id="40" w:name="_Toc5814"/>
      <w:r>
        <w:rPr>
          <w:rFonts w:hint="eastAsia" w:ascii="仿宋" w:hAnsi="仿宋" w:eastAsia="仿宋" w:cs="仿宋"/>
          <w:b/>
          <w:bCs/>
          <w:color w:val="000000" w:themeColor="text1"/>
          <w:sz w:val="32"/>
          <w:szCs w:val="32"/>
          <w14:textFill>
            <w14:solidFill>
              <w14:schemeClr w14:val="tx1"/>
            </w14:solidFill>
          </w14:textFill>
        </w:rPr>
        <w:t>3.专业拓展课程</w:t>
      </w:r>
      <w:bookmarkEnd w:id="39"/>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专业拓展课程见表1-6。</w:t>
      </w:r>
    </w:p>
    <w:p>
      <w:pPr>
        <w:spacing w:line="560" w:lineRule="exact"/>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p>
    <w:p>
      <w:pPr>
        <w:spacing w:line="560" w:lineRule="exact"/>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p>
    <w:p>
      <w:pPr>
        <w:spacing w:line="560" w:lineRule="exact"/>
        <w:jc w:val="left"/>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表1-6                     专业拓展课程</w:t>
      </w:r>
    </w:p>
    <w:tbl>
      <w:tblPr>
        <w:tblStyle w:val="10"/>
        <w:tblW w:w="8499" w:type="dxa"/>
        <w:jc w:val="center"/>
        <w:tblLayout w:type="autofit"/>
        <w:tblCellMar>
          <w:top w:w="0" w:type="dxa"/>
          <w:left w:w="108" w:type="dxa"/>
          <w:bottom w:w="0" w:type="dxa"/>
          <w:right w:w="108" w:type="dxa"/>
        </w:tblCellMar>
      </w:tblPr>
      <w:tblGrid>
        <w:gridCol w:w="846"/>
        <w:gridCol w:w="2033"/>
        <w:gridCol w:w="5620"/>
      </w:tblGrid>
      <w:tr>
        <w:tblPrEx>
          <w:tblCellMar>
            <w:top w:w="0" w:type="dxa"/>
            <w:left w:w="108" w:type="dxa"/>
            <w:bottom w:w="0" w:type="dxa"/>
            <w:right w:w="108" w:type="dxa"/>
          </w:tblCellMar>
        </w:tblPrEx>
        <w:trPr>
          <w:trHeight w:val="43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107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ERP沙盘认知</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让学生在分析市场、制定战略、组织生产、整体营销和财务结算等一系列活动中体会企业经营运作的全过程。</w:t>
            </w:r>
          </w:p>
        </w:tc>
      </w:tr>
      <w:tr>
        <w:tblPrEx>
          <w:tblCellMar>
            <w:top w:w="0" w:type="dxa"/>
            <w:left w:w="108" w:type="dxa"/>
            <w:bottom w:w="0" w:type="dxa"/>
            <w:right w:w="108" w:type="dxa"/>
          </w:tblCellMar>
        </w:tblPrEx>
        <w:trPr>
          <w:trHeight w:val="1499"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VBSE模拟商业社会实训</w:t>
            </w:r>
          </w:p>
        </w:tc>
        <w:tc>
          <w:tcPr>
            <w:tcW w:w="5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通过完成典型的岗位工作任务,认知企业主要经管理活动过程和主要业务流程；体验企业内部门间的协作关系及其与企业外围相关经济组织与管理部门之间的业务关联。</w:t>
            </w:r>
          </w:p>
        </w:tc>
      </w:tr>
    </w:tbl>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bookmarkStart w:id="41" w:name="_Toc30599"/>
      <w:bookmarkStart w:id="42" w:name="_Toc17534"/>
      <w:r>
        <w:rPr>
          <w:rFonts w:hint="eastAsia" w:ascii="楷体" w:hAnsi="楷体" w:eastAsia="楷体" w:cs="楷体"/>
          <w:b/>
          <w:bCs/>
          <w:color w:val="000000" w:themeColor="text1"/>
          <w:sz w:val="32"/>
          <w:szCs w:val="32"/>
          <w14:textFill>
            <w14:solidFill>
              <w14:schemeClr w14:val="tx1"/>
            </w14:solidFill>
          </w14:textFill>
        </w:rPr>
        <w:t>（三）综合素养课程</w:t>
      </w:r>
      <w:bookmarkEnd w:id="41"/>
      <w:bookmarkEnd w:id="4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综合素养课程见表1-7。</w:t>
      </w:r>
    </w:p>
    <w:p>
      <w:pPr>
        <w:numPr>
          <w:ilvl w:val="0"/>
          <w:numId w:val="0"/>
        </w:numPr>
        <w:spacing w:line="560" w:lineRule="exact"/>
        <w:jc w:val="left"/>
        <w:rPr>
          <w:rFonts w:hint="eastAsia" w:ascii="楷体" w:hAnsi="楷体" w:eastAsia="楷体" w:cs="楷体"/>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表1-7                     综合素养课程</w:t>
      </w:r>
    </w:p>
    <w:tbl>
      <w:tblPr>
        <w:tblStyle w:val="10"/>
        <w:tblW w:w="8578" w:type="dxa"/>
        <w:jc w:val="center"/>
        <w:tblLayout w:type="autofit"/>
        <w:tblCellMar>
          <w:top w:w="0" w:type="dxa"/>
          <w:left w:w="108" w:type="dxa"/>
          <w:bottom w:w="0" w:type="dxa"/>
          <w:right w:w="108" w:type="dxa"/>
        </w:tblCellMar>
      </w:tblPr>
      <w:tblGrid>
        <w:gridCol w:w="773"/>
        <w:gridCol w:w="1781"/>
        <w:gridCol w:w="6024"/>
      </w:tblGrid>
      <w:tr>
        <w:tblPrEx>
          <w:tblCellMar>
            <w:top w:w="0" w:type="dxa"/>
            <w:left w:w="108" w:type="dxa"/>
            <w:bottom w:w="0" w:type="dxa"/>
            <w:right w:w="108" w:type="dxa"/>
          </w:tblCellMar>
        </w:tblPrEx>
        <w:trPr>
          <w:trHeight w:val="542"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课程名称</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主要内容和教学要求</w:t>
            </w:r>
          </w:p>
        </w:tc>
      </w:tr>
      <w:tr>
        <w:tblPrEx>
          <w:tblCellMar>
            <w:top w:w="0" w:type="dxa"/>
            <w:left w:w="108" w:type="dxa"/>
            <w:bottom w:w="0" w:type="dxa"/>
            <w:right w:w="108" w:type="dxa"/>
          </w:tblCellMar>
        </w:tblPrEx>
        <w:trPr>
          <w:trHeight w:val="755"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入学教育与</w:t>
            </w:r>
            <w:r>
              <w:rPr>
                <w:rFonts w:hint="eastAsia" w:ascii="仿宋" w:hAnsi="仿宋" w:eastAsia="仿宋" w:cs="仿宋"/>
                <w:color w:val="000000"/>
                <w:kern w:val="0"/>
                <w:sz w:val="24"/>
                <w:szCs w:val="24"/>
                <w:lang w:bidi="ar"/>
              </w:rPr>
              <w:t>军训</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通过专题学习，使学生</w:t>
            </w:r>
            <w:r>
              <w:rPr>
                <w:rFonts w:hint="eastAsia" w:ascii="仿宋" w:hAnsi="仿宋" w:eastAsia="仿宋" w:cs="仿宋"/>
                <w:color w:val="000000"/>
                <w:kern w:val="0"/>
                <w:sz w:val="24"/>
                <w:szCs w:val="24"/>
                <w:lang w:bidi="ar"/>
              </w:rPr>
              <w:t>了解基本军事知识，熟知基本军事技能。</w:t>
            </w:r>
          </w:p>
        </w:tc>
      </w:tr>
      <w:tr>
        <w:tblPrEx>
          <w:tblCellMar>
            <w:top w:w="0" w:type="dxa"/>
            <w:left w:w="108" w:type="dxa"/>
            <w:bottom w:w="0" w:type="dxa"/>
            <w:right w:w="108" w:type="dxa"/>
          </w:tblCellMar>
        </w:tblPrEx>
        <w:trPr>
          <w:trHeight w:val="629"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创新创业教育</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w:t>
            </w:r>
            <w:r>
              <w:rPr>
                <w:rFonts w:ascii="仿宋" w:hAnsi="仿宋" w:eastAsia="仿宋" w:cs="仿宋"/>
                <w:color w:val="000000"/>
                <w:kern w:val="0"/>
                <w:sz w:val="24"/>
                <w:szCs w:val="24"/>
                <w:lang w:bidi="ar"/>
              </w:rPr>
              <w:t>对学生进行创新思维培养和创业能力锻炼，</w:t>
            </w:r>
            <w:r>
              <w:rPr>
                <w:rFonts w:hint="eastAsia" w:ascii="仿宋" w:hAnsi="仿宋" w:eastAsia="仿宋" w:cs="仿宋"/>
                <w:color w:val="000000"/>
                <w:kern w:val="0"/>
                <w:sz w:val="24"/>
                <w:szCs w:val="24"/>
                <w:lang w:bidi="ar"/>
              </w:rPr>
              <w:t>培养学生的创业技能与开拓创新精神。</w:t>
            </w:r>
          </w:p>
        </w:tc>
      </w:tr>
      <w:tr>
        <w:tblPrEx>
          <w:tblCellMar>
            <w:top w:w="0" w:type="dxa"/>
            <w:left w:w="108" w:type="dxa"/>
            <w:bottom w:w="0" w:type="dxa"/>
            <w:right w:w="108" w:type="dxa"/>
          </w:tblCellMar>
        </w:tblPrEx>
        <w:trPr>
          <w:trHeight w:val="2440"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财经</w:t>
            </w:r>
            <w:r>
              <w:rPr>
                <w:rFonts w:hint="eastAsia" w:ascii="仿宋" w:hAnsi="仿宋" w:eastAsia="仿宋" w:cs="仿宋"/>
                <w:color w:val="000000"/>
                <w:kern w:val="0"/>
                <w:sz w:val="24"/>
                <w:szCs w:val="24"/>
                <w:lang w:val="en-US" w:eastAsia="zh-CN" w:bidi="ar"/>
              </w:rPr>
              <w:t>职业</w:t>
            </w:r>
          </w:p>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素养</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设置</w:t>
            </w:r>
            <w:r>
              <w:rPr>
                <w:rFonts w:hint="eastAsia" w:ascii="仿宋" w:hAnsi="仿宋" w:eastAsia="仿宋" w:cs="仿宋"/>
                <w:color w:val="000000"/>
                <w:kern w:val="0"/>
                <w:sz w:val="24"/>
                <w:szCs w:val="24"/>
                <w:lang w:val="en-US" w:eastAsia="zh-CN" w:bidi="ar"/>
              </w:rPr>
              <w:t>15个主题结构，覆盖劳动及职业、收入及分配、消费及选择、货币及制度、市场及规则、经济发展及财政收支、投资及风险管理、金融机构及监管、社会保障、商业保险、对外贸易及开放、贸易争端及解决、资源及发展、财富积累及传承、财富创造及社会责任等内容。在教学中，教师要引导学生掌握知识、拓展阅读、深化思考、适当践行，使学生获得相应的财经职业素养。</w:t>
            </w:r>
          </w:p>
        </w:tc>
      </w:tr>
      <w:tr>
        <w:tblPrEx>
          <w:tblCellMar>
            <w:top w:w="0" w:type="dxa"/>
            <w:left w:w="108" w:type="dxa"/>
            <w:bottom w:w="0" w:type="dxa"/>
            <w:right w:w="108" w:type="dxa"/>
          </w:tblCellMar>
        </w:tblPrEx>
        <w:trPr>
          <w:trHeight w:val="863"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就业指导</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w:t>
            </w:r>
            <w:r>
              <w:rPr>
                <w:rFonts w:hint="eastAsia" w:ascii="仿宋" w:hAnsi="仿宋" w:eastAsia="仿宋" w:cs="仿宋"/>
                <w:color w:val="000000"/>
                <w:kern w:val="0"/>
                <w:sz w:val="24"/>
                <w:szCs w:val="24"/>
                <w:lang w:val="en-US" w:eastAsia="zh-CN" w:bidi="ar"/>
              </w:rPr>
              <w:t>专题学习</w:t>
            </w:r>
            <w:r>
              <w:rPr>
                <w:rFonts w:hint="eastAsia" w:ascii="仿宋" w:hAnsi="仿宋" w:eastAsia="仿宋" w:cs="仿宋"/>
                <w:color w:val="000000"/>
                <w:kern w:val="0"/>
                <w:sz w:val="24"/>
                <w:szCs w:val="24"/>
                <w:lang w:bidi="ar"/>
              </w:rPr>
              <w:t>，引导学生了解职场、了解职业，树立准职业人的身份意识。激发</w:t>
            </w:r>
            <w:r>
              <w:rPr>
                <w:rFonts w:hint="eastAsia" w:ascii="仿宋" w:hAnsi="仿宋" w:eastAsia="仿宋" w:cs="仿宋"/>
                <w:color w:val="000000"/>
                <w:kern w:val="0"/>
                <w:sz w:val="24"/>
                <w:szCs w:val="24"/>
                <w:lang w:val="en-US" w:eastAsia="zh-CN" w:bidi="ar"/>
              </w:rPr>
              <w:t>学生</w:t>
            </w:r>
            <w:r>
              <w:rPr>
                <w:rFonts w:hint="eastAsia" w:ascii="仿宋" w:hAnsi="仿宋" w:eastAsia="仿宋" w:cs="仿宋"/>
                <w:color w:val="000000"/>
                <w:kern w:val="0"/>
                <w:sz w:val="24"/>
                <w:szCs w:val="24"/>
                <w:lang w:bidi="ar"/>
              </w:rPr>
              <w:t>全面提高自身素质的积极性和自觉性,养成良好的职业道德。</w:t>
            </w:r>
          </w:p>
        </w:tc>
      </w:tr>
      <w:tr>
        <w:tblPrEx>
          <w:tblCellMar>
            <w:top w:w="0" w:type="dxa"/>
            <w:left w:w="108" w:type="dxa"/>
            <w:bottom w:w="0" w:type="dxa"/>
            <w:right w:w="108" w:type="dxa"/>
          </w:tblCellMar>
        </w:tblPrEx>
        <w:trPr>
          <w:trHeight w:val="382"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职业能力</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通过专题学习，使学生具备</w:t>
            </w:r>
            <w:r>
              <w:rPr>
                <w:rFonts w:hint="eastAsia" w:ascii="仿宋" w:hAnsi="仿宋" w:eastAsia="仿宋" w:cs="仿宋"/>
                <w:color w:val="000000"/>
                <w:kern w:val="0"/>
                <w:sz w:val="24"/>
                <w:szCs w:val="24"/>
                <w:lang w:bidi="ar"/>
              </w:rPr>
              <w:t>综合素质（科技常识、人文常识等）、职业核心能力（自我学习、信息处理、数字应用等）和职业社会能力（沟通交流、团队合作、解决问题、创新能力、心理健康、语言应用等）。</w:t>
            </w:r>
          </w:p>
        </w:tc>
      </w:tr>
      <w:tr>
        <w:tblPrEx>
          <w:tblCellMar>
            <w:top w:w="0" w:type="dxa"/>
            <w:left w:w="108" w:type="dxa"/>
            <w:bottom w:w="0" w:type="dxa"/>
            <w:right w:w="108" w:type="dxa"/>
          </w:tblCellMar>
        </w:tblPrEx>
        <w:trPr>
          <w:trHeight w:val="764" w:hRule="atLeast"/>
          <w:jc w:val="center"/>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人际关系与沟通技巧</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通过</w:t>
            </w:r>
            <w:r>
              <w:rPr>
                <w:rFonts w:hint="eastAsia" w:ascii="仿宋" w:hAnsi="仿宋" w:eastAsia="仿宋" w:cs="仿宋"/>
                <w:color w:val="000000"/>
                <w:kern w:val="0"/>
                <w:sz w:val="24"/>
                <w:szCs w:val="24"/>
                <w:lang w:val="en-US" w:eastAsia="zh-CN" w:bidi="ar"/>
              </w:rPr>
              <w:t>专题学习</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val="en-US" w:eastAsia="zh-CN" w:bidi="ar"/>
              </w:rPr>
              <w:t>使学生</w:t>
            </w:r>
            <w:r>
              <w:rPr>
                <w:rFonts w:hint="eastAsia" w:ascii="仿宋" w:hAnsi="仿宋" w:eastAsia="仿宋" w:cs="仿宋"/>
                <w:color w:val="000000"/>
                <w:kern w:val="0"/>
                <w:sz w:val="24"/>
                <w:szCs w:val="24"/>
                <w:lang w:bidi="ar"/>
              </w:rPr>
              <w:t>了解人际关系，掌握沟通技巧，实现有效沟通。</w:t>
            </w:r>
          </w:p>
        </w:tc>
      </w:tr>
    </w:tbl>
    <w:p>
      <w:pPr>
        <w:spacing w:line="560" w:lineRule="exact"/>
        <w:ind w:firstLine="643" w:firstLineChars="200"/>
        <w:jc w:val="left"/>
        <w:outlineLvl w:val="1"/>
        <w:rPr>
          <w:rFonts w:hint="eastAsia" w:ascii="楷体" w:hAnsi="楷体" w:eastAsia="楷体" w:cs="楷体"/>
          <w:b/>
          <w:bCs/>
          <w:color w:val="000000" w:themeColor="text1"/>
          <w:sz w:val="32"/>
          <w:szCs w:val="32"/>
          <w:lang w:eastAsia="zh-CN"/>
          <w14:textFill>
            <w14:solidFill>
              <w14:schemeClr w14:val="tx1"/>
            </w14:solidFill>
          </w14:textFill>
        </w:rPr>
      </w:pPr>
      <w:bookmarkStart w:id="43" w:name="_Toc32707"/>
      <w:bookmarkStart w:id="44" w:name="_Toc18187"/>
      <w:r>
        <w:rPr>
          <w:rFonts w:hint="eastAsia" w:ascii="楷体" w:hAnsi="楷体" w:eastAsia="楷体" w:cs="楷体"/>
          <w:b/>
          <w:bCs/>
          <w:color w:val="000000" w:themeColor="text1"/>
          <w:sz w:val="32"/>
          <w:szCs w:val="32"/>
          <w14:textFill>
            <w14:solidFill>
              <w14:schemeClr w14:val="tx1"/>
            </w14:solidFill>
          </w14:textFill>
        </w:rPr>
        <w:t>（四）资格认证课程</w:t>
      </w:r>
      <w:bookmarkEnd w:id="43"/>
      <w:bookmarkEnd w:id="4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资格认证课程见表1-8。</w:t>
      </w:r>
    </w:p>
    <w:p>
      <w:pPr>
        <w:numPr>
          <w:ilvl w:val="0"/>
          <w:numId w:val="0"/>
        </w:numPr>
        <w:spacing w:line="560" w:lineRule="exact"/>
        <w:jc w:val="left"/>
        <w:rPr>
          <w:rFonts w:hint="eastAsia" w:ascii="楷体" w:hAnsi="楷体" w:eastAsia="楷体" w:cs="楷体"/>
          <w:b/>
          <w:bCs/>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表1-8                     资格认证课程</w:t>
      </w:r>
    </w:p>
    <w:tbl>
      <w:tblPr>
        <w:tblStyle w:val="10"/>
        <w:tblW w:w="8579" w:type="dxa"/>
        <w:jc w:val="center"/>
        <w:tblLayout w:type="autofit"/>
        <w:tblCellMar>
          <w:top w:w="0" w:type="dxa"/>
          <w:left w:w="108" w:type="dxa"/>
          <w:bottom w:w="0" w:type="dxa"/>
          <w:right w:w="108" w:type="dxa"/>
        </w:tblCellMar>
      </w:tblPr>
      <w:tblGrid>
        <w:gridCol w:w="3207"/>
        <w:gridCol w:w="3212"/>
        <w:gridCol w:w="2160"/>
      </w:tblGrid>
      <w:tr>
        <w:tblPrEx>
          <w:tblCellMar>
            <w:top w:w="0" w:type="dxa"/>
            <w:left w:w="108" w:type="dxa"/>
            <w:bottom w:w="0" w:type="dxa"/>
            <w:right w:w="108" w:type="dxa"/>
          </w:tblCellMar>
        </w:tblPrEx>
        <w:trPr>
          <w:trHeight w:val="426" w:hRule="atLeast"/>
          <w:jc w:val="center"/>
        </w:trPr>
        <w:tc>
          <w:tcPr>
            <w:tcW w:w="320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证书名称</w:t>
            </w:r>
          </w:p>
        </w:tc>
        <w:tc>
          <w:tcPr>
            <w:tcW w:w="321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颁发机构</w:t>
            </w: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bidi="ar"/>
              </w:rPr>
              <w:t>课程</w:t>
            </w:r>
            <w:r>
              <w:rPr>
                <w:rFonts w:hint="eastAsia" w:ascii="仿宋" w:hAnsi="仿宋" w:eastAsia="仿宋" w:cs="仿宋"/>
                <w:b/>
                <w:bCs/>
                <w:color w:val="000000"/>
                <w:kern w:val="0"/>
                <w:sz w:val="24"/>
                <w:szCs w:val="24"/>
                <w:lang w:val="en-US" w:eastAsia="zh-CN" w:bidi="ar"/>
              </w:rPr>
              <w:t>名称</w:t>
            </w:r>
          </w:p>
        </w:tc>
      </w:tr>
      <w:tr>
        <w:tblPrEx>
          <w:tblCellMar>
            <w:top w:w="0" w:type="dxa"/>
            <w:left w:w="108" w:type="dxa"/>
            <w:bottom w:w="0" w:type="dxa"/>
            <w:right w:w="108" w:type="dxa"/>
          </w:tblCellMar>
        </w:tblPrEx>
        <w:trPr>
          <w:trHeight w:val="426" w:hRule="atLeast"/>
          <w:jc w:val="center"/>
        </w:trPr>
        <w:tc>
          <w:tcPr>
            <w:tcW w:w="3207"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kern w:val="0"/>
                <w:sz w:val="24"/>
                <w:szCs w:val="24"/>
                <w:lang w:bidi="ar"/>
              </w:rPr>
              <w:t>全国计算机等级考试（一级）</w:t>
            </w:r>
          </w:p>
        </w:tc>
        <w:tc>
          <w:tcPr>
            <w:tcW w:w="321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教育部考试中心</w:t>
            </w: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color w:val="000000"/>
                <w:sz w:val="24"/>
                <w:szCs w:val="24"/>
              </w:rPr>
              <w:t>信息技术</w:t>
            </w:r>
          </w:p>
        </w:tc>
      </w:tr>
      <w:tr>
        <w:tblPrEx>
          <w:tblCellMar>
            <w:top w:w="0" w:type="dxa"/>
            <w:left w:w="108" w:type="dxa"/>
            <w:bottom w:w="0" w:type="dxa"/>
            <w:right w:w="108" w:type="dxa"/>
          </w:tblCellMar>
        </w:tblPrEx>
        <w:trPr>
          <w:trHeight w:val="426" w:hRule="atLeast"/>
          <w:jc w:val="center"/>
        </w:trPr>
        <w:tc>
          <w:tcPr>
            <w:tcW w:w="320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普通话</w:t>
            </w:r>
          </w:p>
        </w:tc>
        <w:tc>
          <w:tcPr>
            <w:tcW w:w="321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aps w:val="0"/>
                <w:color w:val="333333"/>
                <w:spacing w:val="0"/>
                <w:sz w:val="24"/>
                <w:szCs w:val="24"/>
                <w:shd w:val="clear" w:fill="FFFFFF"/>
              </w:rPr>
              <w:t>国家语言文字工作委员会</w:t>
            </w:r>
          </w:p>
        </w:tc>
        <w:tc>
          <w:tcPr>
            <w:tcW w:w="216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语文</w:t>
            </w:r>
          </w:p>
        </w:tc>
      </w:tr>
      <w:tr>
        <w:tblPrEx>
          <w:tblCellMar>
            <w:top w:w="0" w:type="dxa"/>
            <w:left w:w="108" w:type="dxa"/>
            <w:bottom w:w="0" w:type="dxa"/>
            <w:right w:w="108" w:type="dxa"/>
          </w:tblCellMar>
        </w:tblPrEx>
        <w:trPr>
          <w:trHeight w:val="426" w:hRule="atLeast"/>
          <w:jc w:val="center"/>
        </w:trPr>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财务共享服务（初级）</w:t>
            </w:r>
          </w:p>
        </w:tc>
        <w:tc>
          <w:tcPr>
            <w:tcW w:w="32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北京东大正保科技有限公司</w:t>
            </w:r>
          </w:p>
        </w:tc>
        <w:tc>
          <w:tcPr>
            <w:tcW w:w="21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财务共享服务</w:t>
            </w:r>
          </w:p>
        </w:tc>
      </w:tr>
      <w:tr>
        <w:tblPrEx>
          <w:tblCellMar>
            <w:top w:w="0" w:type="dxa"/>
            <w:left w:w="108" w:type="dxa"/>
            <w:bottom w:w="0" w:type="dxa"/>
            <w:right w:w="108" w:type="dxa"/>
          </w:tblCellMar>
        </w:tblPrEx>
        <w:trPr>
          <w:trHeight w:val="446" w:hRule="atLeast"/>
          <w:jc w:val="center"/>
        </w:trPr>
        <w:tc>
          <w:tcPr>
            <w:tcW w:w="3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财务数字化应用（初级）</w:t>
            </w:r>
          </w:p>
        </w:tc>
        <w:tc>
          <w:tcPr>
            <w:tcW w:w="32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新道科技股份有限公司</w:t>
            </w:r>
          </w:p>
        </w:tc>
        <w:tc>
          <w:tcPr>
            <w:tcW w:w="216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财务数字化应用</w:t>
            </w:r>
          </w:p>
        </w:tc>
      </w:tr>
    </w:tbl>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45" w:name="_Toc5507"/>
      <w:bookmarkStart w:id="46" w:name="_Toc9861"/>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五</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实践性教学环节</w:t>
      </w:r>
      <w:bookmarkEnd w:id="45"/>
      <w:bookmarkEnd w:id="46"/>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实践性教学环节主要包括实训、实习、社会实践等。在校内外进行</w:t>
      </w:r>
      <w:r>
        <w:rPr>
          <w:rFonts w:hint="eastAsia" w:ascii="仿宋" w:hAnsi="仿宋" w:eastAsia="仿宋" w:cs="仿宋"/>
          <w:b w:val="0"/>
          <w:bCs w:val="0"/>
          <w:color w:val="000000" w:themeColor="text1"/>
          <w:sz w:val="32"/>
          <w:szCs w:val="32"/>
          <w:lang w:val="en-US" w:eastAsia="zh-CN"/>
          <w14:textFill>
            <w14:solidFill>
              <w14:schemeClr w14:val="tx1"/>
            </w14:solidFill>
          </w14:textFill>
        </w:rPr>
        <w:t>虚拟</w:t>
      </w:r>
      <w:r>
        <w:rPr>
          <w:rFonts w:hint="eastAsia" w:ascii="仿宋" w:hAnsi="仿宋" w:eastAsia="仿宋" w:cs="仿宋"/>
          <w:b w:val="0"/>
          <w:bCs w:val="0"/>
          <w:color w:val="000000" w:themeColor="text1"/>
          <w:sz w:val="32"/>
          <w:szCs w:val="32"/>
          <w14:textFill>
            <w14:solidFill>
              <w14:schemeClr w14:val="tx1"/>
            </w14:solidFill>
          </w14:textFill>
        </w:rPr>
        <w:t>仿真模拟、会计软件操作等综合实训。实训实习既是实践性教学，也是专业课教学的重要内容，应注重理论与实践一体化教学。</w:t>
      </w:r>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岗位实习安排应严格执行《职业学校学生实习管理规定》</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岗位实习内容参照</w:t>
      </w:r>
      <w:r>
        <w:rPr>
          <w:rFonts w:hint="eastAsia" w:ascii="仿宋" w:hAnsi="仿宋" w:eastAsia="仿宋" w:cs="仿宋"/>
          <w:b w:val="0"/>
          <w:bCs w:val="0"/>
          <w:color w:val="000000" w:themeColor="text1"/>
          <w:sz w:val="32"/>
          <w:szCs w:val="32"/>
          <w14:textFill>
            <w14:solidFill>
              <w14:schemeClr w14:val="tx1"/>
            </w14:solidFill>
          </w14:textFill>
        </w:rPr>
        <w:t>《职业学校专业(类)岗位实习标准》的有关要求</w:t>
      </w:r>
      <w:r>
        <w:rPr>
          <w:rFonts w:hint="eastAsia" w:ascii="仿宋" w:hAnsi="仿宋" w:eastAsia="仿宋" w:cs="仿宋"/>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570"/>
        <w:jc w:val="left"/>
        <w:textAlignment w:val="auto"/>
        <w:rPr>
          <w:rFonts w:hint="eastAsia"/>
          <w:lang w:eastAsia="zh-CN"/>
        </w:rPr>
      </w:pPr>
      <w:r>
        <w:rPr>
          <w:rFonts w:hint="eastAsia" w:ascii="仿宋" w:hAnsi="仿宋" w:eastAsia="仿宋" w:cs="仿宋"/>
          <w:bCs/>
          <w:color w:val="000000" w:themeColor="text1"/>
          <w:sz w:val="32"/>
          <w:szCs w:val="32"/>
          <w:lang w:val="en-US" w:eastAsia="zh-CN"/>
          <w14:textFill>
            <w14:solidFill>
              <w14:schemeClr w14:val="tx1"/>
            </w14:solidFill>
          </w14:textFill>
        </w:rPr>
        <w:t>岗位</w:t>
      </w:r>
      <w:r>
        <w:rPr>
          <w:rFonts w:hint="eastAsia" w:ascii="仿宋" w:hAnsi="仿宋" w:eastAsia="仿宋" w:cs="仿宋"/>
          <w:bCs/>
          <w:color w:val="000000" w:themeColor="text1"/>
          <w:sz w:val="32"/>
          <w:szCs w:val="32"/>
          <w14:textFill>
            <w14:solidFill>
              <w14:schemeClr w14:val="tx1"/>
            </w14:solidFill>
          </w14:textFill>
        </w:rPr>
        <w:t>实习时间</w:t>
      </w:r>
      <w:r>
        <w:rPr>
          <w:rFonts w:hint="eastAsia" w:ascii="仿宋" w:hAnsi="仿宋" w:eastAsia="仿宋" w:cs="仿宋"/>
          <w:bCs/>
          <w:color w:val="000000" w:themeColor="text1"/>
          <w:sz w:val="32"/>
          <w:szCs w:val="32"/>
          <w:lang w:val="en-US" w:eastAsia="zh-CN"/>
          <w14:textFill>
            <w14:solidFill>
              <w14:schemeClr w14:val="tx1"/>
            </w14:solidFill>
          </w14:textFill>
        </w:rPr>
        <w:t>主要</w:t>
      </w:r>
      <w:r>
        <w:rPr>
          <w:rFonts w:hint="eastAsia" w:ascii="仿宋" w:hAnsi="仿宋" w:eastAsia="仿宋" w:cs="仿宋"/>
          <w:bCs/>
          <w:color w:val="000000" w:themeColor="text1"/>
          <w:sz w:val="32"/>
          <w:szCs w:val="32"/>
          <w14:textFill>
            <w14:solidFill>
              <w14:schemeClr w14:val="tx1"/>
            </w14:solidFill>
          </w14:textFill>
        </w:rPr>
        <w:t>安排在第</w:t>
      </w:r>
      <w:r>
        <w:rPr>
          <w:rFonts w:hint="eastAsia" w:ascii="仿宋" w:hAnsi="仿宋" w:eastAsia="仿宋" w:cs="仿宋"/>
          <w:bCs/>
          <w:color w:val="000000" w:themeColor="text1"/>
          <w:sz w:val="32"/>
          <w:szCs w:val="32"/>
          <w:lang w:val="en-US"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学期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第五学期、第六学期</w:t>
      </w:r>
      <w:r>
        <w:rPr>
          <w:rFonts w:hint="eastAsia" w:ascii="仿宋" w:hAnsi="仿宋" w:eastAsia="仿宋" w:cs="仿宋"/>
          <w:bCs/>
          <w:color w:val="000000" w:themeColor="text1"/>
          <w:sz w:val="32"/>
          <w:szCs w:val="32"/>
          <w14:textFill>
            <w14:solidFill>
              <w14:schemeClr w14:val="tx1"/>
            </w14:solidFill>
          </w14:textFill>
        </w:rPr>
        <w:t>。第</w:t>
      </w:r>
      <w:r>
        <w:rPr>
          <w:rFonts w:hint="eastAsia" w:ascii="仿宋" w:hAnsi="仿宋" w:eastAsia="仿宋" w:cs="仿宋"/>
          <w:bCs/>
          <w:color w:val="000000" w:themeColor="text1"/>
          <w:sz w:val="32"/>
          <w:szCs w:val="32"/>
          <w:lang w:val="en-US" w:eastAsia="zh-CN"/>
          <w14:textFill>
            <w14:solidFill>
              <w14:schemeClr w14:val="tx1"/>
            </w14:solidFill>
          </w14:textFill>
        </w:rPr>
        <w:t>四</w:t>
      </w:r>
      <w:r>
        <w:rPr>
          <w:rFonts w:hint="eastAsia" w:ascii="仿宋" w:hAnsi="仿宋" w:eastAsia="仿宋" w:cs="仿宋"/>
          <w:bCs/>
          <w:color w:val="000000" w:themeColor="text1"/>
          <w:sz w:val="32"/>
          <w:szCs w:val="32"/>
          <w14:textFill>
            <w14:solidFill>
              <w14:schemeClr w14:val="tx1"/>
            </w14:solidFill>
          </w14:textFill>
        </w:rPr>
        <w:t>学期</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第五学期以校内实训为主，第六学期以校外实习为主。</w:t>
      </w:r>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实习实训工作任务及岗位能力分析见表1-9。</w:t>
      </w:r>
    </w:p>
    <w:p>
      <w:pPr>
        <w:numPr>
          <w:ilvl w:val="0"/>
          <w:numId w:val="0"/>
        </w:numPr>
        <w:spacing w:line="560" w:lineRule="exact"/>
        <w:jc w:val="left"/>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表1-9           实习实训工作任务及岗位能力分析表</w:t>
      </w:r>
    </w:p>
    <w:tbl>
      <w:tblPr>
        <w:tblStyle w:val="11"/>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3593"/>
        <w:gridCol w:w="3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8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实习实训岗位</w:t>
            </w:r>
          </w:p>
        </w:tc>
        <w:tc>
          <w:tcPr>
            <w:tcW w:w="359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工作内容</w:t>
            </w:r>
          </w:p>
        </w:tc>
        <w:tc>
          <w:tcPr>
            <w:tcW w:w="3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vertAlign w:val="baseline"/>
                <w:lang w:val="en-US" w:eastAsia="zh-CN"/>
                <w14:textFill>
                  <w14:solidFill>
                    <w14:schemeClr w14:val="tx1"/>
                  </w14:solidFill>
                </w14:textFill>
              </w:rPr>
              <w:t>岗位能力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8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出纳</w:t>
            </w:r>
          </w:p>
        </w:tc>
        <w:tc>
          <w:tcPr>
            <w:tcW w:w="359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现金收付；</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bookmarkStart w:id="47" w:name="_Toc15878"/>
            <w:bookmarkStart w:id="48" w:name="_Toc17335"/>
            <w:bookmarkStart w:id="49" w:name="_Toc29126"/>
            <w:bookmarkStart w:id="50" w:name="_Toc29233"/>
            <w:r>
              <w:rPr>
                <w:rFonts w:hint="eastAsia" w:ascii="仿宋" w:hAnsi="仿宋" w:eastAsia="仿宋" w:cs="仿宋"/>
                <w:color w:val="000000" w:themeColor="text1"/>
                <w:sz w:val="24"/>
                <w:szCs w:val="24"/>
                <w:vertAlign w:val="baseline"/>
                <w:lang w:val="en-US" w:eastAsia="zh-CN"/>
                <w14:textFill>
                  <w14:solidFill>
                    <w14:schemeClr w14:val="tx1"/>
                  </w14:solidFill>
                </w14:textFill>
              </w:rPr>
              <w:t>银行业务处理；</w:t>
            </w:r>
            <w:bookmarkEnd w:id="47"/>
            <w:bookmarkEnd w:id="48"/>
            <w:bookmarkEnd w:id="49"/>
            <w:bookmarkEnd w:id="5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支付、报销审核。</w:t>
            </w:r>
          </w:p>
        </w:tc>
        <w:tc>
          <w:tcPr>
            <w:tcW w:w="326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业务单据处理能力；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出纳实务能力；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日清月结意识。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8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总账会计</w:t>
            </w:r>
          </w:p>
        </w:tc>
        <w:tc>
          <w:tcPr>
            <w:tcW w:w="359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熟悉会计信息化系统；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成本分析及控制；</w:t>
            </w:r>
          </w:p>
          <w:p>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记账凭证的填制、删除、修改；</w:t>
            </w:r>
          </w:p>
          <w:p>
            <w:pPr>
              <w:keepNext w:val="0"/>
              <w:keepLines w:val="0"/>
              <w:pageBreakBefore w:val="0"/>
              <w:widowControl w:val="0"/>
              <w:kinsoku/>
              <w:wordWrap/>
              <w:overflowPunct/>
              <w:topLinePunct w:val="0"/>
              <w:autoSpaceDE/>
              <w:autoSpaceDN/>
              <w:bidi w:val="0"/>
              <w:adjustRightInd/>
              <w:snapToGrid/>
              <w:spacing w:line="400" w:lineRule="exact"/>
              <w:ind w:left="0" w:right="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期末结转损益和记账。 </w:t>
            </w:r>
          </w:p>
        </w:tc>
        <w:tc>
          <w:tcPr>
            <w:tcW w:w="326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业务单据处理能力；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会计信息化系统操作能力；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会计核算能力。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8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税务会计</w:t>
            </w:r>
          </w:p>
        </w:tc>
        <w:tc>
          <w:tcPr>
            <w:tcW w:w="359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税务发票的开具、认证等工作；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textAlignment w:val="auto"/>
              <w:outlineLvl w:val="9"/>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各项涉税业务的核算、管理；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textAlignment w:val="auto"/>
              <w:outlineLvl w:val="9"/>
              <w:rPr>
                <w:rFonts w:hint="default"/>
                <w:lang w:val="en-US" w:eastAsia="zh-CN"/>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对纳税申报情况进行分析。</w:t>
            </w:r>
          </w:p>
        </w:tc>
        <w:tc>
          <w:tcPr>
            <w:tcW w:w="326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税务核算能力；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税务申报能力；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发票认证能力。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8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财务主管</w:t>
            </w:r>
          </w:p>
        </w:tc>
        <w:tc>
          <w:tcPr>
            <w:tcW w:w="359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 xml:space="preserve">原始业务单据审批;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记账凭证审核；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出具财务报表；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税费的申报和缴纳。</w:t>
            </w:r>
          </w:p>
        </w:tc>
        <w:tc>
          <w:tcPr>
            <w:tcW w:w="3267"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业务审核能力；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会计信息化系统操作能力；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财务分析能力；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color w:val="000000" w:themeColor="text1"/>
                <w:sz w:val="24"/>
                <w:szCs w:val="24"/>
                <w:vertAlign w:val="baseline"/>
                <w:lang w:val="en-US" w:eastAsia="zh-CN"/>
                <w14:textFill>
                  <w14:solidFill>
                    <w14:schemeClr w14:val="tx1"/>
                  </w14:solidFill>
                </w14:textFill>
              </w:rPr>
              <w:t>管理沟通协调能力。</w:t>
            </w:r>
          </w:p>
        </w:tc>
      </w:tr>
    </w:tbl>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51" w:name="_Toc5200"/>
      <w:bookmarkStart w:id="52" w:name="_Toc26600"/>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六</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相关要求</w:t>
      </w:r>
      <w:bookmarkEnd w:id="51"/>
      <w:bookmarkEnd w:id="52"/>
    </w:p>
    <w:p>
      <w:pPr>
        <w:numPr>
          <w:ilvl w:val="0"/>
          <w:numId w:val="0"/>
        </w:numPr>
        <w:spacing w:line="560" w:lineRule="exact"/>
        <w:ind w:firstLine="640" w:firstLineChars="200"/>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本专业落实课程思政，推进全员、全过程、全方位育人，实现思想政治教育与技术技能培养的有机统一。开设人际关系与沟通技巧、创新创业教育、就业指导等方面的专题讲座，将志愿服务活动和</w:t>
      </w:r>
      <w:r>
        <w:rPr>
          <w:rFonts w:hint="eastAsia" w:ascii="仿宋" w:hAnsi="仿宋" w:eastAsia="仿宋" w:cs="仿宋"/>
          <w:b w:val="0"/>
          <w:bCs w:val="0"/>
          <w:color w:val="000000" w:themeColor="text1"/>
          <w:sz w:val="32"/>
          <w:szCs w:val="32"/>
          <w:lang w:val="en-US" w:eastAsia="zh-CN"/>
          <w14:textFill>
            <w14:solidFill>
              <w14:schemeClr w14:val="tx1"/>
            </w14:solidFill>
          </w14:textFill>
        </w:rPr>
        <w:t>劳动</w:t>
      </w:r>
      <w:r>
        <w:rPr>
          <w:rFonts w:hint="eastAsia" w:ascii="仿宋" w:hAnsi="仿宋" w:eastAsia="仿宋" w:cs="仿宋"/>
          <w:b w:val="0"/>
          <w:bCs w:val="0"/>
          <w:color w:val="000000" w:themeColor="text1"/>
          <w:sz w:val="32"/>
          <w:szCs w:val="32"/>
          <w14:textFill>
            <w14:solidFill>
              <w14:schemeClr w14:val="tx1"/>
            </w14:solidFill>
          </w14:textFill>
        </w:rPr>
        <w:t>实践活动融入有关实践性教学环节中。</w:t>
      </w:r>
    </w:p>
    <w:p>
      <w:pPr>
        <w:numPr>
          <w:ilvl w:val="0"/>
          <w:numId w:val="0"/>
        </w:num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53" w:name="_Toc5183"/>
      <w:bookmarkStart w:id="54" w:name="_Toc31348"/>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教学进程总体安排</w:t>
      </w:r>
      <w:bookmarkEnd w:id="53"/>
      <w:bookmarkEnd w:id="54"/>
    </w:p>
    <w:p>
      <w:pPr>
        <w:numPr>
          <w:ilvl w:val="0"/>
          <w:numId w:val="0"/>
        </w:numPr>
        <w:spacing w:line="560" w:lineRule="exact"/>
        <w:ind w:firstLine="640" w:firstLineChars="20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教学进程总体安排表见表1-10。</w:t>
      </w:r>
    </w:p>
    <w:p>
      <w:pPr>
        <w:spacing w:line="560" w:lineRule="exact"/>
        <w:jc w:val="left"/>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表1-10                  </w:t>
      </w:r>
      <w:r>
        <w:rPr>
          <w:rFonts w:hint="eastAsia" w:ascii="仿宋" w:hAnsi="仿宋" w:eastAsia="仿宋" w:cs="仿宋"/>
          <w:b w:val="0"/>
          <w:bCs w:val="0"/>
          <w:color w:val="000000" w:themeColor="text1"/>
          <w:sz w:val="28"/>
          <w:szCs w:val="28"/>
          <w14:textFill>
            <w14:solidFill>
              <w14:schemeClr w14:val="tx1"/>
            </w14:solidFill>
          </w14:textFill>
        </w:rPr>
        <w:t>教学进程总体安排表</w:t>
      </w:r>
    </w:p>
    <w:tbl>
      <w:tblPr>
        <w:tblStyle w:val="10"/>
        <w:tblW w:w="82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487"/>
        <w:gridCol w:w="656"/>
        <w:gridCol w:w="438"/>
        <w:gridCol w:w="2426"/>
        <w:gridCol w:w="656"/>
        <w:gridCol w:w="535"/>
        <w:gridCol w:w="535"/>
        <w:gridCol w:w="453"/>
        <w:gridCol w:w="468"/>
        <w:gridCol w:w="475"/>
        <w:gridCol w:w="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课程</w:t>
            </w:r>
          </w:p>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类别</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课程</w:t>
            </w:r>
            <w:r>
              <w:rPr>
                <w:rFonts w:hint="eastAsia" w:ascii="仿宋" w:hAnsi="仿宋" w:eastAsia="仿宋" w:cs="仿宋"/>
                <w:b/>
                <w:bCs/>
                <w:i w:val="0"/>
                <w:iCs w:val="0"/>
                <w:color w:val="000000"/>
                <w:kern w:val="0"/>
                <w:sz w:val="22"/>
                <w:szCs w:val="22"/>
                <w:u w:val="none"/>
                <w:lang w:val="en-US" w:eastAsia="zh-CN" w:bidi="ar"/>
              </w:rPr>
              <w:br w:type="textWrapping"/>
            </w:r>
            <w:r>
              <w:rPr>
                <w:rFonts w:hint="eastAsia" w:ascii="仿宋" w:hAnsi="仿宋" w:eastAsia="仿宋" w:cs="仿宋"/>
                <w:b/>
                <w:bCs/>
                <w:i w:val="0"/>
                <w:iCs w:val="0"/>
                <w:color w:val="000000"/>
                <w:kern w:val="0"/>
                <w:sz w:val="22"/>
                <w:szCs w:val="22"/>
                <w:u w:val="none"/>
                <w:lang w:val="en-US" w:eastAsia="zh-CN" w:bidi="ar"/>
              </w:rPr>
              <w:t>性质</w:t>
            </w:r>
          </w:p>
        </w:tc>
        <w:tc>
          <w:tcPr>
            <w:tcW w:w="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课程名称</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总学时</w:t>
            </w:r>
          </w:p>
        </w:tc>
        <w:tc>
          <w:tcPr>
            <w:tcW w:w="2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周课时安排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2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第一学期</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第二学期</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第三学期</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第四学期</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第五学期</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第六学期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公共基础课程</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语文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英语</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信息技术</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中国特色社会主义</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心理健康与职业生涯</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哲学与人生</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职业道德与法治</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政治</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9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体育与健康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历史</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音乐欣赏</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礼乐修身</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美术欣赏</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书法</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520" w:type="dxa"/>
            <w:gridSpan w:val="3"/>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公共基础课程小计</w:t>
            </w:r>
          </w:p>
        </w:tc>
        <w:tc>
          <w:tcPr>
            <w:tcW w:w="6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1648</w:t>
            </w:r>
          </w:p>
        </w:tc>
        <w:tc>
          <w:tcPr>
            <w:tcW w:w="53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53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53"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6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7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技能)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课程</w:t>
            </w:r>
          </w:p>
        </w:tc>
        <w:tc>
          <w:tcPr>
            <w:tcW w:w="48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专业理论课</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会计基础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企业财务会计</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税收基础</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w w:val="90"/>
                <w:sz w:val="22"/>
                <w:szCs w:val="22"/>
                <w:u w:val="none"/>
              </w:rPr>
            </w:pPr>
            <w:r>
              <w:rPr>
                <w:rFonts w:hint="eastAsia" w:ascii="仿宋" w:hAnsi="仿宋" w:eastAsia="仿宋" w:cs="仿宋"/>
                <w:i w:val="0"/>
                <w:iCs w:val="0"/>
                <w:color w:val="000000"/>
                <w:w w:val="90"/>
                <w:kern w:val="0"/>
                <w:sz w:val="22"/>
                <w:szCs w:val="22"/>
                <w:u w:val="none"/>
                <w:lang w:val="en-US" w:eastAsia="zh-CN" w:bidi="ar"/>
              </w:rPr>
              <w:t>财经法规与会计职业道德</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电子票据技术应用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专业实训课</w:t>
            </w:r>
          </w:p>
        </w:tc>
        <w:tc>
          <w:tcPr>
            <w:tcW w:w="656"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财经技能</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出纳与资金管理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企业财务会计实训</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会计信息化</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税费计算与智能申报</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财务数据分析</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业财税综合实训</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财务共享服务/财务数字化应用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53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nil"/>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75" w:type="dxa"/>
            <w:tcBorders>
              <w:top w:val="single" w:color="000000" w:sz="4" w:space="0"/>
              <w:left w:val="single" w:color="000000" w:sz="4" w:space="0"/>
              <w:bottom w:val="nil"/>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nil"/>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8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w w:val="90"/>
                <w:sz w:val="22"/>
                <w:szCs w:val="22"/>
                <w:u w:val="none"/>
              </w:rPr>
            </w:pPr>
            <w:r>
              <w:rPr>
                <w:rFonts w:hint="eastAsia" w:ascii="仿宋" w:hAnsi="仿宋" w:eastAsia="仿宋" w:cs="仿宋"/>
                <w:i w:val="0"/>
                <w:iCs w:val="0"/>
                <w:color w:val="000000"/>
                <w:w w:val="90"/>
                <w:kern w:val="0"/>
                <w:sz w:val="22"/>
                <w:szCs w:val="22"/>
                <w:u w:val="none"/>
                <w:lang w:val="en-US" w:eastAsia="zh-CN" w:bidi="ar"/>
              </w:rPr>
              <w:t>财务机器人智能核算应用</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007" w:type="dxa"/>
            <w:gridSpan w:val="4"/>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专业(技能)课程小计</w:t>
            </w:r>
          </w:p>
        </w:tc>
        <w:tc>
          <w:tcPr>
            <w:tcW w:w="656"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535"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535"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53"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68"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75"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92"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综合素养课程</w:t>
            </w:r>
          </w:p>
        </w:tc>
        <w:tc>
          <w:tcPr>
            <w:tcW w:w="65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财经职业素养</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18</w:t>
            </w:r>
          </w:p>
        </w:tc>
        <w:tc>
          <w:tcPr>
            <w:tcW w:w="5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职业能力</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入学教育与军训</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人际关系与沟通技巧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创新创业教育</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1096"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24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就业指导</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4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岗位实习</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540</w:t>
            </w: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46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4616" w:type="dxa"/>
            <w:gridSpan w:val="5"/>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周课时合计</w:t>
            </w:r>
          </w:p>
        </w:tc>
        <w:tc>
          <w:tcPr>
            <w:tcW w:w="6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3498</w:t>
            </w:r>
          </w:p>
        </w:tc>
        <w:tc>
          <w:tcPr>
            <w:tcW w:w="53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535" w:type="dxa"/>
            <w:tcBorders>
              <w:top w:val="single" w:color="000000" w:sz="4" w:space="0"/>
              <w:left w:val="single" w:color="000000" w:sz="4" w:space="0"/>
              <w:bottom w:val="single" w:color="auto"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453"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468"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47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专业拓展课程</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选修</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ERP沙盘认知</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w w:val="90"/>
                <w:sz w:val="22"/>
                <w:szCs w:val="22"/>
                <w:u w:val="none"/>
              </w:rPr>
            </w:pPr>
            <w:r>
              <w:rPr>
                <w:rFonts w:hint="eastAsia" w:ascii="仿宋" w:hAnsi="仿宋" w:eastAsia="仿宋" w:cs="仿宋"/>
                <w:i w:val="0"/>
                <w:iCs w:val="0"/>
                <w:color w:val="000000"/>
                <w:w w:val="90"/>
                <w:kern w:val="0"/>
                <w:sz w:val="22"/>
                <w:szCs w:val="22"/>
                <w:u w:val="none"/>
                <w:lang w:val="en-US" w:eastAsia="zh-CN" w:bidi="ar"/>
              </w:rPr>
              <w:t>VBSE模拟商业社会安训</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资格认证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必修</w:t>
            </w: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w w:val="80"/>
                <w:sz w:val="22"/>
                <w:szCs w:val="22"/>
                <w:u w:val="none"/>
              </w:rPr>
            </w:pPr>
            <w:r>
              <w:rPr>
                <w:rFonts w:hint="eastAsia" w:ascii="仿宋" w:hAnsi="仿宋" w:eastAsia="仿宋" w:cs="仿宋"/>
                <w:i w:val="0"/>
                <w:iCs w:val="0"/>
                <w:color w:val="000000"/>
                <w:w w:val="80"/>
                <w:kern w:val="0"/>
                <w:sz w:val="22"/>
                <w:szCs w:val="22"/>
                <w:u w:val="none"/>
                <w:lang w:val="en-US" w:eastAsia="zh-CN" w:bidi="ar"/>
              </w:rPr>
              <w:t>全国计算机等级考试（一级）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普通话</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w w:val="100"/>
                <w:sz w:val="22"/>
                <w:szCs w:val="22"/>
                <w:u w:val="none"/>
              </w:rPr>
            </w:pPr>
            <w:r>
              <w:rPr>
                <w:rFonts w:hint="eastAsia" w:ascii="仿宋" w:hAnsi="仿宋" w:eastAsia="仿宋" w:cs="仿宋"/>
                <w:i w:val="0"/>
                <w:iCs w:val="0"/>
                <w:color w:val="000000"/>
                <w:w w:val="100"/>
                <w:kern w:val="0"/>
                <w:sz w:val="22"/>
                <w:szCs w:val="22"/>
                <w:u w:val="none"/>
                <w:lang w:val="en-US" w:eastAsia="zh-CN" w:bidi="ar"/>
              </w:rPr>
              <w:t>财务共享服务/财务数字化应用（初级）</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53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53"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仿宋" w:hAnsi="仿宋" w:eastAsia="仿宋" w:cs="仿宋"/>
                <w:i w:val="0"/>
                <w:iCs w:val="0"/>
                <w:color w:val="000000"/>
                <w:sz w:val="22"/>
                <w:szCs w:val="22"/>
                <w:u w:val="none"/>
              </w:rPr>
            </w:pPr>
          </w:p>
        </w:tc>
      </w:tr>
    </w:tbl>
    <w:p>
      <w:pPr>
        <w:spacing w:line="560" w:lineRule="exact"/>
        <w:ind w:firstLine="640" w:firstLineChars="200"/>
        <w:jc w:val="left"/>
        <w:outlineLvl w:val="0"/>
        <w:rPr>
          <w:rFonts w:hint="eastAsia" w:ascii="黑体" w:hAnsi="黑体" w:eastAsia="黑体" w:cs="黑体"/>
          <w:color w:val="000000" w:themeColor="text1"/>
          <w:sz w:val="32"/>
          <w:szCs w:val="32"/>
          <w:lang w:val="en-US" w:eastAsia="zh-CN"/>
          <w14:textFill>
            <w14:solidFill>
              <w14:schemeClr w14:val="tx1"/>
            </w14:solidFill>
          </w14:textFill>
        </w:rPr>
      </w:pPr>
      <w:bookmarkStart w:id="55" w:name="_Toc1396"/>
      <w:bookmarkStart w:id="56" w:name="_Toc23920"/>
    </w:p>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、实施保障</w:t>
      </w:r>
      <w:bookmarkEnd w:id="55"/>
      <w:bookmarkEnd w:id="56"/>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57" w:name="_Toc21958"/>
      <w:bookmarkStart w:id="58" w:name="_Toc24110"/>
      <w:r>
        <w:rPr>
          <w:rFonts w:hint="eastAsia" w:ascii="楷体" w:hAnsi="楷体" w:eastAsia="楷体" w:cs="楷体"/>
          <w:b/>
          <w:bCs/>
          <w:color w:val="000000" w:themeColor="text1"/>
          <w:sz w:val="32"/>
          <w:szCs w:val="32"/>
          <w14:textFill>
            <w14:solidFill>
              <w14:schemeClr w14:val="tx1"/>
            </w14:solidFill>
          </w14:textFill>
        </w:rPr>
        <w:t>（一）师资队伍</w:t>
      </w:r>
      <w:bookmarkEnd w:id="57"/>
      <w:bookmarkEnd w:id="58"/>
    </w:p>
    <w:p>
      <w:pPr>
        <w:spacing w:line="560" w:lineRule="exact"/>
        <w:ind w:firstLine="570"/>
        <w:jc w:val="left"/>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师资队伍</w:t>
      </w:r>
      <w:r>
        <w:rPr>
          <w:rFonts w:hint="eastAsia" w:ascii="仿宋" w:hAnsi="仿宋" w:eastAsia="仿宋" w:cs="仿宋"/>
          <w:bCs/>
          <w:color w:val="000000" w:themeColor="text1"/>
          <w:sz w:val="32"/>
          <w:szCs w:val="32"/>
          <w14:textFill>
            <w14:solidFill>
              <w14:schemeClr w14:val="tx1"/>
            </w14:solidFill>
          </w14:textFill>
        </w:rPr>
        <w:t>是人才培养方案得以顺利实施的关键。工作过程系统化课程体系的实施需要建立由专业带头人、骨干教师、“双师型”教师、企业技术专家组成的专兼结合教学团队。通过各种形式的培训、业务比赛等措施，建设符合项目式、模块化教学需要的教学创新团队，不断优化教师能力结构，提升教师专业技能水平和教研水平，全面提升教师信息技术应用能力，推动大数据、人工智能、虚拟现实等现代信息技术在教育教学中的广泛应用。积极推动教师角色的转变和教育理念、教学内容、教学方法以及教学评价等方面的改革。</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59" w:name="_Toc32083"/>
      <w:bookmarkStart w:id="60" w:name="_Toc11008"/>
      <w:r>
        <w:rPr>
          <w:rFonts w:hint="eastAsia" w:ascii="仿宋" w:hAnsi="仿宋" w:eastAsia="仿宋" w:cs="仿宋"/>
          <w:b/>
          <w:bCs w:val="0"/>
          <w:color w:val="000000" w:themeColor="text1"/>
          <w:sz w:val="32"/>
          <w:szCs w:val="32"/>
          <w:lang w:val="en-US" w:eastAsia="zh-CN"/>
          <w14:textFill>
            <w14:solidFill>
              <w14:schemeClr w14:val="tx1"/>
            </w14:solidFill>
          </w14:textFill>
        </w:rPr>
        <w:t>1.队伍结构</w:t>
      </w:r>
      <w:bookmarkEnd w:id="59"/>
      <w:bookmarkEnd w:id="60"/>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本专业专任教师数与学生数之比不低于1</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25，</w:t>
      </w:r>
      <w:r>
        <w:rPr>
          <w:rFonts w:hint="eastAsia" w:ascii="仿宋" w:hAnsi="仿宋" w:eastAsia="仿宋" w:cs="仿宋"/>
          <w:bCs/>
          <w:color w:val="000000" w:themeColor="text1"/>
          <w:sz w:val="32"/>
          <w:szCs w:val="32"/>
          <w:lang w:val="en-US" w:eastAsia="zh-CN"/>
          <w14:textFill>
            <w14:solidFill>
              <w14:schemeClr w14:val="tx1"/>
            </w14:solidFill>
          </w14:textFill>
        </w:rPr>
        <w:t>专业课教师中</w:t>
      </w:r>
      <w:r>
        <w:rPr>
          <w:rFonts w:hint="eastAsia" w:ascii="仿宋" w:hAnsi="仿宋" w:eastAsia="仿宋" w:cs="仿宋"/>
          <w:bCs/>
          <w:color w:val="000000" w:themeColor="text1"/>
          <w:sz w:val="32"/>
          <w:szCs w:val="32"/>
          <w14:textFill>
            <w14:solidFill>
              <w14:schemeClr w14:val="tx1"/>
            </w14:solidFill>
          </w14:textFill>
        </w:rPr>
        <w:t>双师素质教师比例</w:t>
      </w:r>
      <w:r>
        <w:rPr>
          <w:rFonts w:hint="eastAsia" w:ascii="仿宋" w:hAnsi="仿宋" w:eastAsia="仿宋" w:cs="仿宋"/>
          <w:bCs/>
          <w:color w:val="000000" w:themeColor="text1"/>
          <w:sz w:val="32"/>
          <w:szCs w:val="32"/>
          <w:lang w:val="en-US" w:eastAsia="zh-CN"/>
          <w14:textFill>
            <w14:solidFill>
              <w14:schemeClr w14:val="tx1"/>
            </w14:solidFill>
          </w14:textFill>
        </w:rPr>
        <w:t>达到89</w:t>
      </w:r>
      <w:r>
        <w:rPr>
          <w:rFonts w:hint="eastAsia" w:ascii="仿宋" w:hAnsi="仿宋" w:eastAsia="仿宋" w:cs="仿宋"/>
          <w:bCs/>
          <w:color w:val="000000" w:themeColor="text1"/>
          <w:sz w:val="32"/>
          <w:szCs w:val="32"/>
          <w14:textFill>
            <w14:solidFill>
              <w14:schemeClr w14:val="tx1"/>
            </w14:solidFill>
          </w14:textFill>
        </w:rPr>
        <w:t>% 。</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61" w:name="_Toc6555"/>
      <w:bookmarkStart w:id="62" w:name="_Toc24402"/>
      <w:r>
        <w:rPr>
          <w:rFonts w:hint="eastAsia" w:ascii="仿宋" w:hAnsi="仿宋" w:eastAsia="仿宋" w:cs="仿宋"/>
          <w:b/>
          <w:bCs w:val="0"/>
          <w:color w:val="000000" w:themeColor="text1"/>
          <w:sz w:val="32"/>
          <w:szCs w:val="32"/>
          <w:lang w:val="en-US" w:eastAsia="zh-CN"/>
          <w14:textFill>
            <w14:solidFill>
              <w14:schemeClr w14:val="tx1"/>
            </w14:solidFill>
          </w14:textFill>
        </w:rPr>
        <w:t>2.专任教师</w:t>
      </w:r>
      <w:bookmarkEnd w:id="61"/>
      <w:bookmarkEnd w:id="62"/>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专任教师应具有中等职业学校教师资格证书</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有理想信念、有道德情操、有扎实学识、有仁爱之心</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具有本科及以上学历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具有扎实的本专业相关理论功底和实践能力</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具有较强</w:t>
      </w:r>
      <w:r>
        <w:rPr>
          <w:rFonts w:hint="eastAsia" w:ascii="仿宋" w:hAnsi="仿宋" w:eastAsia="仿宋" w:cs="仿宋"/>
          <w:bCs/>
          <w:color w:val="000000" w:themeColor="text1"/>
          <w:sz w:val="32"/>
          <w:szCs w:val="32"/>
          <w:lang w:eastAsia="zh-CN"/>
          <w14:textFill>
            <w14:solidFill>
              <w14:schemeClr w14:val="tx1"/>
            </w14:solidFill>
          </w14:textFill>
        </w:rPr>
        <w:t>的</w:t>
      </w:r>
      <w:r>
        <w:rPr>
          <w:rFonts w:hint="eastAsia" w:ascii="仿宋" w:hAnsi="仿宋" w:eastAsia="仿宋" w:cs="仿宋"/>
          <w:bCs/>
          <w:color w:val="000000" w:themeColor="text1"/>
          <w:sz w:val="32"/>
          <w:szCs w:val="32"/>
          <w14:textFill>
            <w14:solidFill>
              <w14:schemeClr w14:val="tx1"/>
            </w14:solidFill>
          </w14:textFill>
        </w:rPr>
        <w:t>信息化教学能力，能够开展课程教学改革和科学研究</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有每5年累计不少于6个月的企业实践经历。</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63" w:name="_Toc18442"/>
      <w:bookmarkStart w:id="64" w:name="_Toc2254"/>
      <w:r>
        <w:rPr>
          <w:rFonts w:hint="eastAsia" w:ascii="仿宋" w:hAnsi="仿宋" w:eastAsia="仿宋" w:cs="仿宋"/>
          <w:b/>
          <w:bCs w:val="0"/>
          <w:color w:val="000000" w:themeColor="text1"/>
          <w:sz w:val="32"/>
          <w:szCs w:val="32"/>
          <w:lang w:val="en-US" w:eastAsia="zh-CN"/>
          <w14:textFill>
            <w14:solidFill>
              <w14:schemeClr w14:val="tx1"/>
            </w14:solidFill>
          </w14:textFill>
        </w:rPr>
        <w:t>3.专业带头人</w:t>
      </w:r>
      <w:bookmarkEnd w:id="63"/>
      <w:bookmarkEnd w:id="64"/>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专业带头人原则上应具有副高级以上职称，能够较好地把握</w:t>
      </w:r>
      <w:r>
        <w:rPr>
          <w:rFonts w:hint="eastAsia" w:ascii="仿宋" w:hAnsi="仿宋" w:eastAsia="仿宋" w:cs="仿宋"/>
          <w:bCs/>
          <w:color w:val="000000" w:themeColor="text1"/>
          <w:sz w:val="32"/>
          <w:szCs w:val="32"/>
          <w:lang w:val="en-US" w:eastAsia="zh-CN"/>
          <w14:textFill>
            <w14:solidFill>
              <w14:schemeClr w14:val="tx1"/>
            </w14:solidFill>
          </w14:textFill>
        </w:rPr>
        <w:t>本专业</w:t>
      </w:r>
      <w:r>
        <w:rPr>
          <w:rFonts w:hint="eastAsia" w:ascii="仿宋" w:hAnsi="仿宋" w:eastAsia="仿宋" w:cs="仿宋"/>
          <w:bCs/>
          <w:color w:val="000000" w:themeColor="text1"/>
          <w:sz w:val="32"/>
          <w:szCs w:val="32"/>
          <w14:textFill>
            <w14:solidFill>
              <w14:schemeClr w14:val="tx1"/>
            </w14:solidFill>
          </w14:textFill>
        </w:rPr>
        <w:t>学科前沿发展动态，能广泛联系行业企业，了解行业企业对本专业人才的需求实际，专业研究能力强</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组织开展教科研工作能力强，在本领域具有一定的专业影响力。</w:t>
      </w:r>
    </w:p>
    <w:p>
      <w:pPr>
        <w:spacing w:line="560" w:lineRule="exact"/>
        <w:ind w:firstLine="570"/>
        <w:jc w:val="left"/>
        <w:outlineLvl w:val="2"/>
        <w:rPr>
          <w:rFonts w:hint="eastAsia" w:ascii="仿宋" w:hAnsi="仿宋" w:eastAsia="仿宋" w:cs="仿宋"/>
          <w:b/>
          <w:bCs w:val="0"/>
          <w:color w:val="000000" w:themeColor="text1"/>
          <w:sz w:val="32"/>
          <w:szCs w:val="32"/>
          <w:lang w:val="en-US" w:eastAsia="zh-CN"/>
          <w14:textFill>
            <w14:solidFill>
              <w14:schemeClr w14:val="tx1"/>
            </w14:solidFill>
          </w14:textFill>
        </w:rPr>
      </w:pPr>
      <w:bookmarkStart w:id="65" w:name="_Toc8617"/>
      <w:bookmarkStart w:id="66" w:name="_Toc20896"/>
      <w:r>
        <w:rPr>
          <w:rFonts w:hint="eastAsia" w:ascii="仿宋" w:hAnsi="仿宋" w:eastAsia="仿宋" w:cs="仿宋"/>
          <w:b/>
          <w:bCs w:val="0"/>
          <w:color w:val="000000" w:themeColor="text1"/>
          <w:sz w:val="32"/>
          <w:szCs w:val="32"/>
          <w:lang w:val="en-US" w:eastAsia="zh-CN"/>
          <w14:textFill>
            <w14:solidFill>
              <w14:schemeClr w14:val="tx1"/>
            </w14:solidFill>
          </w14:textFill>
        </w:rPr>
        <w:t>4.兼职教师</w:t>
      </w:r>
      <w:bookmarkEnd w:id="65"/>
      <w:bookmarkEnd w:id="66"/>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兼职教师主要从与本专业相关的行业企业聘任。要求具备良好的思想政治素质、职业道德和工匠精神，具有扎实的专业知识和丰富的实际工作经验，具有中级及以上相关专业</w:t>
      </w:r>
      <w:r>
        <w:rPr>
          <w:rFonts w:hint="eastAsia" w:ascii="仿宋" w:hAnsi="仿宋" w:eastAsia="仿宋" w:cs="仿宋"/>
          <w:bCs/>
          <w:color w:val="000000" w:themeColor="text1"/>
          <w:sz w:val="32"/>
          <w:szCs w:val="32"/>
          <w:lang w:val="en-US" w:eastAsia="zh-CN"/>
          <w14:textFill>
            <w14:solidFill>
              <w14:schemeClr w14:val="tx1"/>
            </w14:solidFill>
          </w14:textFill>
        </w:rPr>
        <w:t>职称</w:t>
      </w:r>
      <w:r>
        <w:rPr>
          <w:rFonts w:hint="eastAsia" w:ascii="仿宋" w:hAnsi="仿宋" w:eastAsia="仿宋" w:cs="仿宋"/>
          <w:bCs/>
          <w:color w:val="000000" w:themeColor="text1"/>
          <w:sz w:val="32"/>
          <w:szCs w:val="32"/>
          <w14:textFill>
            <w14:solidFill>
              <w14:schemeClr w14:val="tx1"/>
            </w14:solidFill>
          </w14:textFill>
        </w:rPr>
        <w:t>，能承担专业课程教学、实习实训指导和学生职业发展规划指导等教学任务</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570"/>
        <w:jc w:val="left"/>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师资队伍一览表</w:t>
      </w:r>
      <w:r>
        <w:rPr>
          <w:rFonts w:hint="eastAsia" w:ascii="仿宋" w:hAnsi="仿宋" w:eastAsia="仿宋" w:cs="仿宋"/>
          <w:bCs/>
          <w:color w:val="000000" w:themeColor="text1"/>
          <w:sz w:val="32"/>
          <w:szCs w:val="32"/>
          <w:lang w:val="en-US" w:eastAsia="zh-CN"/>
          <w14:textFill>
            <w14:solidFill>
              <w14:schemeClr w14:val="tx1"/>
            </w14:solidFill>
          </w14:textFill>
        </w:rPr>
        <w:t>见表1-12。</w:t>
      </w:r>
    </w:p>
    <w:p>
      <w:pPr>
        <w:spacing w:line="560" w:lineRule="exact"/>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表1-12                   </w:t>
      </w:r>
      <w:r>
        <w:rPr>
          <w:rFonts w:hint="eastAsia" w:ascii="仿宋" w:hAnsi="仿宋" w:eastAsia="仿宋" w:cs="仿宋"/>
          <w:bCs/>
          <w:color w:val="000000" w:themeColor="text1"/>
          <w:sz w:val="28"/>
          <w:szCs w:val="28"/>
          <w14:textFill>
            <w14:solidFill>
              <w14:schemeClr w14:val="tx1"/>
            </w14:solidFill>
          </w14:textFill>
        </w:rPr>
        <w:t>师资队伍一览表</w:t>
      </w:r>
    </w:p>
    <w:tbl>
      <w:tblPr>
        <w:tblStyle w:val="10"/>
        <w:tblW w:w="86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2571"/>
        <w:gridCol w:w="1104"/>
        <w:gridCol w:w="1700"/>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学历</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职称</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省里认定的双师资格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赵建素（专业部主任）</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正高级讲师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郝翠玲</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 翠</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烨</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娟</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曹 蕊</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芦睿娟</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庞 翠</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蕾</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 镜</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李柳</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曼</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 茜</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田 杨</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王宏颖</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袁彦维</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丹</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崔艳艳</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刘红雨</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许超平</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殷美倩</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张春强</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焦忠海</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李诗雨</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助理讲师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刘青萍</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菁</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王煜哲</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林剑平</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研究生</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黄秋香</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本科</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企业兼职教师</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高级</w:t>
            </w:r>
          </w:p>
        </w:tc>
      </w:tr>
    </w:tbl>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67" w:name="_Toc10997"/>
      <w:bookmarkStart w:id="68" w:name="_Toc19530"/>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教学设施</w:t>
      </w:r>
      <w:bookmarkEnd w:id="67"/>
      <w:bookmarkEnd w:id="68"/>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69" w:name="_Toc11797"/>
      <w:bookmarkStart w:id="70" w:name="_Toc15810"/>
      <w:r>
        <w:rPr>
          <w:rFonts w:hint="eastAsia" w:ascii="仿宋" w:hAnsi="仿宋" w:eastAsia="仿宋" w:cs="仿宋"/>
          <w:b/>
          <w:bCs w:val="0"/>
          <w:color w:val="000000" w:themeColor="text1"/>
          <w:sz w:val="32"/>
          <w:szCs w:val="32"/>
          <w14:textFill>
            <w14:solidFill>
              <w14:schemeClr w14:val="tx1"/>
            </w14:solidFill>
          </w14:textFill>
        </w:rPr>
        <w:t>1.专业教室基本条件</w:t>
      </w:r>
      <w:bookmarkEnd w:id="69"/>
      <w:bookmarkEnd w:id="70"/>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专业教室一般配备黑(白) 板、多媒体计算机、投影设备、音响设备，互联网接入或WiFi环境，并实施网络安全防护措施</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安装应急照明装置并保持良好状态，符合紧急疏散要求，标志明显，保持逃生通道畅通无阻。</w:t>
      </w:r>
    </w:p>
    <w:p>
      <w:pPr>
        <w:spacing w:line="560" w:lineRule="exact"/>
        <w:ind w:firstLine="570"/>
        <w:jc w:val="left"/>
        <w:outlineLvl w:val="2"/>
        <w:rPr>
          <w:rFonts w:hint="eastAsia" w:ascii="仿宋" w:hAnsi="仿宋" w:eastAsia="仿宋" w:cs="仿宋"/>
          <w:b/>
          <w:bCs w:val="0"/>
          <w:color w:val="000000" w:themeColor="text1"/>
          <w:sz w:val="32"/>
          <w:szCs w:val="32"/>
          <w:highlight w:val="none"/>
          <w14:textFill>
            <w14:solidFill>
              <w14:schemeClr w14:val="tx1"/>
            </w14:solidFill>
          </w14:textFill>
        </w:rPr>
      </w:pPr>
      <w:bookmarkStart w:id="71" w:name="_Toc26043"/>
      <w:bookmarkStart w:id="72" w:name="_Toc24523"/>
      <w:r>
        <w:rPr>
          <w:rFonts w:hint="eastAsia" w:ascii="仿宋" w:hAnsi="仿宋" w:eastAsia="仿宋" w:cs="仿宋"/>
          <w:b/>
          <w:bCs w:val="0"/>
          <w:color w:val="000000" w:themeColor="text1"/>
          <w:sz w:val="32"/>
          <w:szCs w:val="32"/>
          <w:highlight w:val="none"/>
          <w14:textFill>
            <w14:solidFill>
              <w14:schemeClr w14:val="tx1"/>
            </w14:solidFill>
          </w14:textFill>
        </w:rPr>
        <w:t>2.校内实训室基本要求</w:t>
      </w:r>
      <w:bookmarkEnd w:id="71"/>
      <w:bookmarkEnd w:id="72"/>
      <w:r>
        <w:rPr>
          <w:rFonts w:hint="eastAsia" w:ascii="仿宋" w:hAnsi="仿宋" w:eastAsia="仿宋" w:cs="仿宋"/>
          <w:b/>
          <w:bCs w:val="0"/>
          <w:color w:val="000000" w:themeColor="text1"/>
          <w:sz w:val="32"/>
          <w:szCs w:val="32"/>
          <w:highlight w:val="none"/>
          <w14:textFill>
            <w14:solidFill>
              <w14:schemeClr w14:val="tx1"/>
            </w14:solidFill>
          </w14:textFill>
        </w:rPr>
        <w:t xml:space="preserve"> </w:t>
      </w:r>
    </w:p>
    <w:p>
      <w:pPr>
        <w:spacing w:line="560" w:lineRule="exact"/>
        <w:ind w:firstLine="570"/>
        <w:jc w:val="left"/>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校内实训室基本要求见表1-</w:t>
      </w:r>
      <w:r>
        <w:rPr>
          <w:rFonts w:hint="eastAsia" w:ascii="仿宋" w:hAnsi="仿宋" w:eastAsia="仿宋" w:cs="仿宋"/>
          <w:bCs/>
          <w:color w:val="000000" w:themeColor="text1"/>
          <w:sz w:val="32"/>
          <w:szCs w:val="32"/>
          <w:lang w:val="en-US" w:eastAsia="zh-CN"/>
          <w14:textFill>
            <w14:solidFill>
              <w14:schemeClr w14:val="tx1"/>
            </w14:solidFill>
          </w14:textFill>
        </w:rPr>
        <w:t>13。</w:t>
      </w:r>
    </w:p>
    <w:p>
      <w:pPr>
        <w:spacing w:line="560" w:lineRule="exact"/>
        <w:jc w:val="left"/>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 xml:space="preserve">表1-13               </w:t>
      </w:r>
      <w:r>
        <w:rPr>
          <w:rFonts w:hint="eastAsia" w:ascii="仿宋" w:hAnsi="仿宋" w:eastAsia="仿宋" w:cs="仿宋"/>
          <w:b w:val="0"/>
          <w:bCs/>
          <w:color w:val="000000" w:themeColor="text1"/>
          <w:sz w:val="28"/>
          <w:szCs w:val="28"/>
          <w14:textFill>
            <w14:solidFill>
              <w14:schemeClr w14:val="tx1"/>
            </w14:solidFill>
          </w14:textFill>
        </w:rPr>
        <w:t>校内实训室基本要求</w:t>
      </w:r>
    </w:p>
    <w:tbl>
      <w:tblPr>
        <w:tblStyle w:val="11"/>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670"/>
        <w:gridCol w:w="3419"/>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序号</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实训室名称</w:t>
            </w:r>
          </w:p>
        </w:tc>
        <w:tc>
          <w:tcPr>
            <w:tcW w:w="3419"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功能</w:t>
            </w:r>
          </w:p>
        </w:tc>
        <w:tc>
          <w:tcPr>
            <w:tcW w:w="2373"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1</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智慧财务</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创新中心</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利用智慧财务云平台进行财务机器人、财务人员的协同工作实训</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67台电脑、1套多媒体设备、扫描设备16台</w:t>
            </w:r>
            <w:bookmarkStart w:id="109" w:name="_GoBack"/>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2</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税务素养</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实践中心</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利用税务技能赛训平台进行税务业务的模拟训练</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3</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业财税综合实训中心</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利用财会职业能力养成平台进行业财税审一体化实训</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4</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岗课赛证</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服务中心</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sz w:val="24"/>
                <w:szCs w:val="24"/>
              </w:rPr>
              <w:t>支持考证、竞赛训练、社会培训等服务，可作为职业技能证书的考测现场，同时也可作为国赛、省赛、市赛的比赛场所。</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5</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1</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6</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2</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7</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3</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60台电脑、1套多媒体设备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vertAlign w:val="baseline"/>
                <w:lang w:val="en-US" w:eastAsia="zh-CN"/>
                <w14:textFill>
                  <w14:solidFill>
                    <w14:schemeClr w14:val="tx1"/>
                  </w14:solidFill>
                </w14:textFill>
              </w:rPr>
              <w:t>8</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会计信息化</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kern w:val="0"/>
                <w:sz w:val="24"/>
                <w:szCs w:val="24"/>
                <w:highlight w:val="none"/>
                <w:lang w:bidi="ar"/>
              </w:rPr>
              <w:t>实训室</w:t>
            </w:r>
            <w:r>
              <w:rPr>
                <w:rFonts w:hint="eastAsia" w:ascii="仿宋" w:hAnsi="仿宋" w:eastAsia="仿宋" w:cs="仿宋"/>
                <w:kern w:val="0"/>
                <w:sz w:val="24"/>
                <w:szCs w:val="24"/>
                <w:highlight w:val="none"/>
                <w:lang w:val="en-US" w:eastAsia="zh-CN" w:bidi="ar"/>
              </w:rPr>
              <w:t>4</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利用会计教学软件进行企业财税业务理实一体化实训</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b/>
                <w:bCs/>
                <w:kern w:val="0"/>
                <w:sz w:val="24"/>
                <w:szCs w:val="24"/>
                <w:lang w:val="en-US" w:eastAsia="zh-CN" w:bidi="ar"/>
              </w:rPr>
            </w:pPr>
            <w:r>
              <w:rPr>
                <w:rFonts w:hint="eastAsia" w:ascii="仿宋" w:hAnsi="仿宋" w:eastAsia="仿宋" w:cs="仿宋"/>
                <w:kern w:val="0"/>
                <w:sz w:val="24"/>
                <w:szCs w:val="24"/>
                <w:lang w:val="en-US" w:eastAsia="zh-CN" w:bidi="ar"/>
              </w:rPr>
              <w:t>50台电脑、1套多媒体设备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9</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val="en-US" w:eastAsia="zh-CN" w:bidi="ar"/>
              </w:rPr>
              <w:t>虚拟商业社会环境</w:t>
            </w:r>
            <w:r>
              <w:rPr>
                <w:rFonts w:hint="eastAsia" w:ascii="仿宋" w:hAnsi="仿宋" w:eastAsia="仿宋" w:cs="仿宋"/>
                <w:kern w:val="0"/>
                <w:sz w:val="24"/>
                <w:szCs w:val="24"/>
                <w:lang w:bidi="ar"/>
              </w:rPr>
              <w:t>实训室</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利用虚拟商业社会环境模拟实训平台进行企业经营</w:t>
            </w:r>
            <w:r>
              <w:rPr>
                <w:rFonts w:hint="eastAsia" w:ascii="仿宋" w:hAnsi="仿宋" w:eastAsia="仿宋" w:cs="仿宋"/>
                <w:kern w:val="0"/>
                <w:sz w:val="24"/>
                <w:szCs w:val="24"/>
                <w:lang w:bidi="ar"/>
              </w:rPr>
              <w:t>综合实训</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90台电脑、1套多媒体设备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10</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ERP沙盘</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利用</w:t>
            </w:r>
            <w:r>
              <w:rPr>
                <w:rFonts w:hint="eastAsia" w:ascii="仿宋_GB2312" w:hAnsi="黑体" w:eastAsia="仿宋_GB2312"/>
                <w:sz w:val="24"/>
              </w:rPr>
              <w:t>电子沙盘</w:t>
            </w:r>
            <w:r>
              <w:rPr>
                <w:rFonts w:hint="eastAsia" w:ascii="仿宋_GB2312" w:hAnsi="黑体" w:eastAsia="仿宋_GB2312"/>
                <w:sz w:val="24"/>
                <w:lang w:val="en-US" w:eastAsia="zh-CN"/>
              </w:rPr>
              <w:t>模拟操作系统</w:t>
            </w:r>
            <w:r>
              <w:rPr>
                <w:rFonts w:hint="eastAsia" w:ascii="仿宋" w:hAnsi="仿宋" w:eastAsia="仿宋" w:cs="仿宋"/>
                <w:kern w:val="0"/>
                <w:sz w:val="24"/>
                <w:szCs w:val="24"/>
                <w:lang w:val="en-US" w:eastAsia="zh-CN" w:bidi="ar"/>
              </w:rPr>
              <w:t>进行ERP</w:t>
            </w:r>
            <w:r>
              <w:rPr>
                <w:rFonts w:hint="eastAsia" w:ascii="仿宋" w:hAnsi="仿宋" w:eastAsia="仿宋" w:cs="仿宋"/>
                <w:kern w:val="0"/>
                <w:sz w:val="24"/>
                <w:szCs w:val="24"/>
                <w:lang w:bidi="ar"/>
              </w:rPr>
              <w:t>企业经营实训</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16台电脑、1套多媒体设备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lang w:val="en-US" w:eastAsia="zh-CN"/>
                <w14:textFill>
                  <w14:solidFill>
                    <w14:schemeClr w14:val="tx1"/>
                  </w14:solidFill>
                </w14:textFill>
              </w:rPr>
            </w:pPr>
            <w:r>
              <w:rPr>
                <w:rFonts w:hint="eastAsia" w:ascii="仿宋" w:hAnsi="仿宋" w:eastAsia="仿宋" w:cs="仿宋"/>
                <w:bCs/>
                <w:color w:val="000000" w:themeColor="text1"/>
                <w:sz w:val="24"/>
                <w:szCs w:val="24"/>
                <w:vertAlign w:val="baseline"/>
                <w:lang w:val="en-US" w:eastAsia="zh-CN"/>
                <w14:textFill>
                  <w14:solidFill>
                    <w14:schemeClr w14:val="tx1"/>
                  </w14:solidFill>
                </w14:textFill>
              </w:rPr>
              <w:t>11</w:t>
            </w:r>
          </w:p>
        </w:tc>
        <w:tc>
          <w:tcPr>
            <w:tcW w:w="167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财经技能</w:t>
            </w:r>
          </w:p>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Cs/>
                <w:color w:val="000000" w:themeColor="text1"/>
                <w:sz w:val="24"/>
                <w:szCs w:val="24"/>
                <w:vertAlign w:val="baseline"/>
                <w14:textFill>
                  <w14:solidFill>
                    <w14:schemeClr w14:val="tx1"/>
                  </w14:solidFill>
                </w14:textFill>
              </w:rPr>
            </w:pPr>
            <w:r>
              <w:rPr>
                <w:rFonts w:hint="eastAsia" w:ascii="仿宋" w:hAnsi="仿宋" w:eastAsia="仿宋" w:cs="仿宋"/>
                <w:kern w:val="0"/>
                <w:sz w:val="24"/>
                <w:szCs w:val="24"/>
                <w:lang w:bidi="ar"/>
              </w:rPr>
              <w:t>实训室</w:t>
            </w:r>
          </w:p>
        </w:tc>
        <w:tc>
          <w:tcPr>
            <w:tcW w:w="3419"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bidi="ar"/>
              </w:rPr>
              <w:t>满足点钞、传票翻打、珠算、计算器等财经技能学习需要</w:t>
            </w:r>
          </w:p>
        </w:tc>
        <w:tc>
          <w:tcPr>
            <w:tcW w:w="2373"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lang w:val="en-US" w:eastAsia="zh-CN" w:bidi="ar"/>
              </w:rPr>
              <w:t>50台爱丁派、1台验钞机、50个计算器、50个算盘、1套多媒体设备、若干钞纸和传票</w:t>
            </w:r>
          </w:p>
        </w:tc>
      </w:tr>
    </w:tbl>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73" w:name="_Toc18276"/>
      <w:bookmarkStart w:id="74" w:name="_Toc8214"/>
      <w:r>
        <w:rPr>
          <w:rFonts w:hint="eastAsia" w:ascii="仿宋" w:hAnsi="仿宋" w:eastAsia="仿宋" w:cs="仿宋"/>
          <w:b/>
          <w:bCs w:val="0"/>
          <w:color w:val="000000" w:themeColor="text1"/>
          <w:sz w:val="32"/>
          <w:szCs w:val="32"/>
          <w14:textFill>
            <w14:solidFill>
              <w14:schemeClr w14:val="tx1"/>
            </w14:solidFill>
          </w14:textFill>
        </w:rPr>
        <w:t>3.校外实训/实习基地基本要求</w:t>
      </w:r>
      <w:bookmarkEnd w:id="73"/>
      <w:bookmarkEnd w:id="74"/>
    </w:p>
    <w:p>
      <w:pPr>
        <w:spacing w:line="560" w:lineRule="exact"/>
        <w:ind w:firstLine="627" w:firstLineChars="196"/>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校外实训/实习基地是师生从事实践教学、社会实践、科研活动的重要场所，是培养学生综合素质和社会实践能力的重要课堂，是校企合作的重要途径。校外实训基地应根据会计岗位实习要求，依托企业财务部门、会计师事务所等机构建立会计岗位工作实习基地。</w:t>
      </w:r>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75" w:name="_Toc26013"/>
      <w:bookmarkStart w:id="76" w:name="_Toc3812"/>
      <w:r>
        <w:rPr>
          <w:rFonts w:hint="eastAsia" w:ascii="楷体" w:hAnsi="楷体" w:eastAsia="楷体" w:cs="楷体"/>
          <w:b/>
          <w:bCs/>
          <w:color w:val="000000" w:themeColor="text1"/>
          <w:sz w:val="32"/>
          <w:szCs w:val="32"/>
          <w14:textFill>
            <w14:solidFill>
              <w14:schemeClr w14:val="tx1"/>
            </w14:solidFill>
          </w14:textFill>
        </w:rPr>
        <w:t>(三) 教学资源</w:t>
      </w:r>
      <w:bookmarkEnd w:id="75"/>
      <w:bookmarkEnd w:id="76"/>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77" w:name="_Toc4480"/>
      <w:bookmarkStart w:id="78" w:name="_Toc25502"/>
      <w:r>
        <w:rPr>
          <w:rFonts w:hint="eastAsia" w:ascii="仿宋" w:hAnsi="仿宋" w:eastAsia="仿宋" w:cs="仿宋"/>
          <w:b/>
          <w:bCs w:val="0"/>
          <w:color w:val="000000" w:themeColor="text1"/>
          <w:sz w:val="32"/>
          <w:szCs w:val="32"/>
          <w14:textFill>
            <w14:solidFill>
              <w14:schemeClr w14:val="tx1"/>
            </w14:solidFill>
          </w14:textFill>
        </w:rPr>
        <w:t>1.教材选用基本要求</w:t>
      </w:r>
      <w:bookmarkEnd w:id="77"/>
      <w:bookmarkEnd w:id="78"/>
    </w:p>
    <w:p>
      <w:pPr>
        <w:pStyle w:val="3"/>
        <w:spacing w:after="0" w:line="560" w:lineRule="exact"/>
        <w:ind w:left="136" w:right="233"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教材应符合《职业院校教材管理办法》等文件的规定和要求，</w:t>
      </w:r>
      <w:r>
        <w:rPr>
          <w:rFonts w:hint="eastAsia" w:ascii="仿宋" w:hAnsi="仿宋" w:eastAsia="仿宋" w:cs="仿宋"/>
          <w:bCs/>
          <w:color w:val="000000" w:themeColor="text1"/>
          <w:sz w:val="32"/>
          <w:szCs w:val="32"/>
          <w:lang w:val="en-US" w:eastAsia="zh-CN"/>
          <w14:textFill>
            <w14:solidFill>
              <w14:schemeClr w14:val="tx1"/>
            </w14:solidFill>
          </w14:textFill>
        </w:rPr>
        <w:t>优先选用</w:t>
      </w:r>
      <w:r>
        <w:rPr>
          <w:rFonts w:hint="eastAsia" w:ascii="仿宋" w:hAnsi="仿宋" w:eastAsia="仿宋" w:cs="仿宋"/>
          <w:spacing w:val="-2"/>
          <w:sz w:val="32"/>
          <w:szCs w:val="32"/>
        </w:rPr>
        <w:t>国家规划教材</w:t>
      </w:r>
      <w:r>
        <w:rPr>
          <w:rFonts w:hint="eastAsia" w:ascii="仿宋" w:hAnsi="仿宋" w:eastAsia="仿宋" w:cs="仿宋"/>
          <w:spacing w:val="-2"/>
          <w:sz w:val="32"/>
          <w:szCs w:val="32"/>
          <w:lang w:eastAsia="zh-CN"/>
        </w:rPr>
        <w:t>，</w:t>
      </w:r>
      <w:r>
        <w:rPr>
          <w:rFonts w:hint="eastAsia" w:ascii="仿宋" w:hAnsi="仿宋" w:eastAsia="仿宋" w:cs="仿宋"/>
          <w:bCs/>
          <w:color w:val="000000" w:themeColor="text1"/>
          <w:sz w:val="32"/>
          <w:szCs w:val="32"/>
          <w14:textFill>
            <w14:solidFill>
              <w14:schemeClr w14:val="tx1"/>
            </w14:solidFill>
          </w14:textFill>
        </w:rPr>
        <w:t>探索使用新型活页式</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工作手册式教材并配套信息化资源。</w:t>
      </w:r>
    </w:p>
    <w:p>
      <w:pPr>
        <w:spacing w:line="560" w:lineRule="exact"/>
        <w:ind w:firstLine="643" w:firstLineChars="20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79" w:name="_Toc12657"/>
      <w:bookmarkStart w:id="80" w:name="_Toc18848"/>
      <w:r>
        <w:rPr>
          <w:rFonts w:hint="eastAsia" w:ascii="仿宋" w:hAnsi="仿宋" w:eastAsia="仿宋" w:cs="仿宋"/>
          <w:b/>
          <w:bCs w:val="0"/>
          <w:color w:val="000000" w:themeColor="text1"/>
          <w:sz w:val="32"/>
          <w:szCs w:val="32"/>
          <w14:textFill>
            <w14:solidFill>
              <w14:schemeClr w14:val="tx1"/>
            </w14:solidFill>
          </w14:textFill>
        </w:rPr>
        <w:t>2.图书文献配备基本要求</w:t>
      </w:r>
      <w:bookmarkEnd w:id="79"/>
      <w:bookmarkEnd w:id="80"/>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图书文献配备能满足人才培养、专业建设、教科研等工作的需要，方便师生查询、借阅</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专业类图书文献主要包括</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有关</w:t>
      </w:r>
      <w:r>
        <w:rPr>
          <w:rFonts w:hint="eastAsia" w:ascii="仿宋" w:hAnsi="仿宋" w:eastAsia="仿宋" w:cs="仿宋"/>
          <w:bCs/>
          <w:color w:val="000000" w:themeColor="text1"/>
          <w:sz w:val="32"/>
          <w:szCs w:val="32"/>
          <w:lang w:val="en-US" w:eastAsia="zh-CN"/>
          <w14:textFill>
            <w14:solidFill>
              <w14:schemeClr w14:val="tx1"/>
            </w14:solidFill>
          </w14:textFill>
        </w:rPr>
        <w:t>财税</w:t>
      </w:r>
      <w:r>
        <w:rPr>
          <w:rFonts w:hint="eastAsia" w:ascii="仿宋" w:hAnsi="仿宋" w:eastAsia="仿宋" w:cs="仿宋"/>
          <w:bCs/>
          <w:color w:val="000000" w:themeColor="text1"/>
          <w:sz w:val="32"/>
          <w:szCs w:val="32"/>
          <w14:textFill>
            <w14:solidFill>
              <w14:schemeClr w14:val="tx1"/>
            </w14:solidFill>
          </w14:textFill>
        </w:rPr>
        <w:t>专业理论、技术、方法、思维以及实务操作类图书等。</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81" w:name="_Toc5541"/>
      <w:bookmarkStart w:id="82" w:name="_Toc16280"/>
      <w:r>
        <w:rPr>
          <w:rFonts w:hint="eastAsia" w:ascii="仿宋" w:hAnsi="仿宋" w:eastAsia="仿宋" w:cs="仿宋"/>
          <w:b/>
          <w:bCs w:val="0"/>
          <w:color w:val="000000" w:themeColor="text1"/>
          <w:sz w:val="32"/>
          <w:szCs w:val="32"/>
          <w14:textFill>
            <w14:solidFill>
              <w14:schemeClr w14:val="tx1"/>
            </w14:solidFill>
          </w14:textFill>
        </w:rPr>
        <w:t>3.数字教学资源配置基本要求</w:t>
      </w:r>
      <w:bookmarkEnd w:id="81"/>
      <w:bookmarkEnd w:id="82"/>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建设、配备与本专业有关的音视频素材、教学课件、数字化教学案例库、虚拟仿真软件、数字教材等专业教学资源库，要求种类丰富、形式多样、使用便捷、动态更新，能满足教学要求。</w:t>
      </w:r>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83" w:name="_Toc10990"/>
      <w:bookmarkStart w:id="84" w:name="_Toc19869"/>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四</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教学方法</w:t>
      </w:r>
      <w:bookmarkEnd w:id="83"/>
      <w:bookmarkEnd w:id="84"/>
    </w:p>
    <w:p>
      <w:pPr>
        <w:spacing w:line="560" w:lineRule="exact"/>
        <w:ind w:firstLine="595" w:firstLineChars="196"/>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spacing w:val="-8"/>
          <w:sz w:val="32"/>
          <w:szCs w:val="32"/>
        </w:rPr>
        <w:t>突出职业能力培养，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85" w:name="_Toc13043"/>
      <w:bookmarkStart w:id="86" w:name="_Toc25745"/>
      <w:r>
        <w:rPr>
          <w:rFonts w:hint="eastAsia" w:ascii="仿宋" w:hAnsi="仿宋" w:eastAsia="仿宋" w:cs="仿宋"/>
          <w:b/>
          <w:bCs w:val="0"/>
          <w:color w:val="000000" w:themeColor="text1"/>
          <w:sz w:val="32"/>
          <w:szCs w:val="32"/>
          <w14:textFill>
            <w14:solidFill>
              <w14:schemeClr w14:val="tx1"/>
            </w14:solidFill>
          </w14:textFill>
        </w:rPr>
        <w:t>1.项目教学法</w:t>
      </w:r>
      <w:bookmarkEnd w:id="85"/>
      <w:bookmarkEnd w:id="86"/>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项目教学法是以工作任务为依据设计教学项目，以学生为活动主体实施项目的教学方法，也就是将教学内容融</w:t>
      </w:r>
      <w:r>
        <w:rPr>
          <w:rFonts w:hint="eastAsia" w:ascii="仿宋" w:hAnsi="仿宋" w:eastAsia="仿宋" w:cs="仿宋"/>
          <w:bCs/>
          <w:color w:val="000000" w:themeColor="text1"/>
          <w:sz w:val="32"/>
          <w:szCs w:val="32"/>
          <w:lang w:val="en-US" w:eastAsia="zh-CN"/>
          <w14:textFill>
            <w14:solidFill>
              <w14:schemeClr w14:val="tx1"/>
            </w14:solidFill>
          </w14:textFill>
        </w:rPr>
        <w:t>入</w:t>
      </w:r>
      <w:r>
        <w:rPr>
          <w:rFonts w:hint="eastAsia" w:ascii="仿宋" w:hAnsi="仿宋" w:eastAsia="仿宋" w:cs="仿宋"/>
          <w:bCs/>
          <w:color w:val="000000" w:themeColor="text1"/>
          <w:sz w:val="32"/>
          <w:szCs w:val="32"/>
          <w14:textFill>
            <w14:solidFill>
              <w14:schemeClr w14:val="tx1"/>
            </w14:solidFill>
          </w14:textFill>
        </w:rPr>
        <w:t>项目实施过程的一种教学方法。项目教学法是以学生为中心的教学模式，这种教学模式中学生是主动的学习者，教师是学生学习的指导者。每个项目的实施都有一个明确的任务、一个完整的过程，能够取得一个标志性成果。</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87" w:name="_Toc30513"/>
      <w:bookmarkStart w:id="88" w:name="_Toc19872"/>
      <w:r>
        <w:rPr>
          <w:rFonts w:hint="eastAsia" w:ascii="仿宋" w:hAnsi="仿宋" w:eastAsia="仿宋" w:cs="仿宋"/>
          <w:b/>
          <w:bCs w:val="0"/>
          <w:color w:val="000000" w:themeColor="text1"/>
          <w:sz w:val="32"/>
          <w:szCs w:val="32"/>
          <w14:textFill>
            <w14:solidFill>
              <w14:schemeClr w14:val="tx1"/>
            </w14:solidFill>
          </w14:textFill>
        </w:rPr>
        <w:t>2.课堂讲授法</w:t>
      </w:r>
      <w:bookmarkEnd w:id="87"/>
      <w:bookmarkEnd w:id="88"/>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课堂讲授法是教师通过口头语言向学生描绘情境、叙述事实、解释概念、论证原理和阐明规律的教学方法。该方法以教师的语言作为主要媒介系统，连贯地向学生讲授基础知识</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基本理论或基本流程，帮助学生理解并准确掌握相关知识技能，特别是各个知识技能点之间的有机联系和逻辑关系。</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89" w:name="_Toc9834"/>
      <w:bookmarkStart w:id="90" w:name="_Toc2367"/>
      <w:r>
        <w:rPr>
          <w:rFonts w:hint="eastAsia" w:ascii="仿宋" w:hAnsi="仿宋" w:eastAsia="仿宋" w:cs="仿宋"/>
          <w:b/>
          <w:bCs w:val="0"/>
          <w:color w:val="000000" w:themeColor="text1"/>
          <w:sz w:val="32"/>
          <w:szCs w:val="32"/>
          <w14:textFill>
            <w14:solidFill>
              <w14:schemeClr w14:val="tx1"/>
            </w14:solidFill>
          </w14:textFill>
        </w:rPr>
        <w:t>3.任务驱动法</w:t>
      </w:r>
      <w:bookmarkEnd w:id="89"/>
      <w:bookmarkEnd w:id="90"/>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以职业能力养成为核心，通过设计不同场景的项目任务来组织教学，从获取信息到制订步骤，再到决策和付诸行动，直至检查、反思与评估，完成一个完整的工作过程。教师只扮演一个“咨询者”“协调者”和“观察员”的角色，引导学生自主学习，向学生提供资源</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给予建议和操作指导，可加深学生对基础知识和基本技能的掌握，也有助于学生职业判断能力、决策能力的提升和团队合作精神的培养</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91" w:name="_Toc2029"/>
      <w:bookmarkStart w:id="92" w:name="_Toc23249"/>
      <w:r>
        <w:rPr>
          <w:rFonts w:hint="eastAsia" w:ascii="仿宋" w:hAnsi="仿宋" w:eastAsia="仿宋" w:cs="仿宋"/>
          <w:b/>
          <w:bCs w:val="0"/>
          <w:color w:val="000000" w:themeColor="text1"/>
          <w:sz w:val="32"/>
          <w:szCs w:val="32"/>
          <w14:textFill>
            <w14:solidFill>
              <w14:schemeClr w14:val="tx1"/>
            </w14:solidFill>
          </w14:textFill>
        </w:rPr>
        <w:t>4.情境教学法</w:t>
      </w:r>
      <w:bookmarkEnd w:id="91"/>
      <w:bookmarkEnd w:id="92"/>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在教学过程中，教师有目的地引</w:t>
      </w:r>
      <w:r>
        <w:rPr>
          <w:rFonts w:hint="eastAsia" w:ascii="仿宋" w:hAnsi="仿宋" w:eastAsia="仿宋" w:cs="仿宋"/>
          <w:bCs/>
          <w:color w:val="000000" w:themeColor="text1"/>
          <w:sz w:val="32"/>
          <w:szCs w:val="32"/>
          <w:lang w:val="en-US" w:eastAsia="zh-CN"/>
          <w14:textFill>
            <w14:solidFill>
              <w14:schemeClr w14:val="tx1"/>
            </w14:solidFill>
          </w14:textFill>
        </w:rPr>
        <w:t>入</w:t>
      </w:r>
      <w:r>
        <w:rPr>
          <w:rFonts w:hint="eastAsia" w:ascii="仿宋" w:hAnsi="仿宋" w:eastAsia="仿宋" w:cs="仿宋"/>
          <w:bCs/>
          <w:color w:val="000000" w:themeColor="text1"/>
          <w:sz w:val="32"/>
          <w:szCs w:val="32"/>
          <w14:textFill>
            <w14:solidFill>
              <w14:schemeClr w14:val="tx1"/>
            </w14:solidFill>
          </w14:textFill>
        </w:rPr>
        <w:t>或采用虚拟企业、虚拟职能部门、虚拟业务流程等</w:t>
      </w:r>
      <w:r>
        <w:rPr>
          <w:rFonts w:hint="eastAsia" w:ascii="仿宋" w:hAnsi="仿宋" w:eastAsia="仿宋" w:cs="仿宋"/>
          <w:bCs/>
          <w:color w:val="000000" w:themeColor="text1"/>
          <w:sz w:val="32"/>
          <w:szCs w:val="32"/>
          <w:lang w:val="en-US" w:eastAsia="zh-CN"/>
          <w14:textFill>
            <w14:solidFill>
              <w14:schemeClr w14:val="tx1"/>
            </w14:solidFill>
          </w14:textFill>
        </w:rPr>
        <w:t>现代</w:t>
      </w:r>
      <w:r>
        <w:rPr>
          <w:rFonts w:hint="eastAsia" w:ascii="仿宋" w:hAnsi="仿宋" w:eastAsia="仿宋" w:cs="仿宋"/>
          <w:bCs/>
          <w:color w:val="000000" w:themeColor="text1"/>
          <w:sz w:val="32"/>
          <w:szCs w:val="32"/>
          <w14:textFill>
            <w14:solidFill>
              <w14:schemeClr w14:val="tx1"/>
            </w14:solidFill>
          </w14:textFill>
        </w:rPr>
        <w:t>技术手段，将教学内容以视频、动漫等方式展示，提高学习的现场感、趣味性，激发</w:t>
      </w:r>
      <w:r>
        <w:rPr>
          <w:rFonts w:hint="eastAsia" w:ascii="仿宋" w:hAnsi="仿宋" w:eastAsia="仿宋" w:cs="仿宋"/>
          <w:bCs/>
          <w:color w:val="000000" w:themeColor="text1"/>
          <w:sz w:val="32"/>
          <w:szCs w:val="32"/>
          <w:lang w:val="en-US" w:eastAsia="zh-CN"/>
          <w14:textFill>
            <w14:solidFill>
              <w14:schemeClr w14:val="tx1"/>
            </w14:solidFill>
          </w14:textFill>
        </w:rPr>
        <w:t>学生</w:t>
      </w:r>
      <w:r>
        <w:rPr>
          <w:rFonts w:hint="eastAsia" w:ascii="仿宋" w:hAnsi="仿宋" w:eastAsia="仿宋" w:cs="仿宋"/>
          <w:bCs/>
          <w:color w:val="000000" w:themeColor="text1"/>
          <w:sz w:val="32"/>
          <w:szCs w:val="32"/>
          <w14:textFill>
            <w14:solidFill>
              <w14:schemeClr w14:val="tx1"/>
            </w14:solidFill>
          </w14:textFill>
        </w:rPr>
        <w:t>的情感，使学生能够尽快适应、了解和掌握将来所从事工作必备的知识和技能，直至熟悉</w:t>
      </w:r>
      <w:r>
        <w:rPr>
          <w:rFonts w:hint="eastAsia" w:ascii="仿宋" w:hAnsi="仿宋" w:eastAsia="仿宋" w:cs="仿宋"/>
          <w:bCs/>
          <w:color w:val="000000" w:themeColor="text1"/>
          <w:sz w:val="32"/>
          <w:szCs w:val="32"/>
          <w:lang w:val="en-US" w:eastAsia="zh-CN"/>
          <w14:textFill>
            <w14:solidFill>
              <w14:schemeClr w14:val="tx1"/>
            </w14:solidFill>
          </w14:textFill>
        </w:rPr>
        <w:t>可能</w:t>
      </w:r>
      <w:r>
        <w:rPr>
          <w:rFonts w:hint="eastAsia" w:ascii="仿宋" w:hAnsi="仿宋" w:eastAsia="仿宋" w:cs="仿宋"/>
          <w:bCs/>
          <w:color w:val="000000" w:themeColor="text1"/>
          <w:sz w:val="32"/>
          <w:szCs w:val="32"/>
          <w14:textFill>
            <w14:solidFill>
              <w14:schemeClr w14:val="tx1"/>
            </w14:solidFill>
          </w14:textFill>
        </w:rPr>
        <w:t>遇到的各种方法，帮助学生做出正确的决策，有效调动学生学习的主动性、积极性和创性，培养学生职业能力。</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93" w:name="_Toc30068"/>
      <w:bookmarkStart w:id="94" w:name="_Toc5526"/>
      <w:r>
        <w:rPr>
          <w:rFonts w:hint="eastAsia" w:ascii="仿宋" w:hAnsi="仿宋" w:eastAsia="仿宋" w:cs="仿宋"/>
          <w:b/>
          <w:bCs w:val="0"/>
          <w:color w:val="000000" w:themeColor="text1"/>
          <w:sz w:val="32"/>
          <w:szCs w:val="32"/>
          <w14:textFill>
            <w14:solidFill>
              <w14:schemeClr w14:val="tx1"/>
            </w14:solidFill>
          </w14:textFill>
        </w:rPr>
        <w:t>5.案例教学法</w:t>
      </w:r>
      <w:bookmarkEnd w:id="93"/>
      <w:bookmarkEnd w:id="94"/>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案例教学法包括讲解案例法和讨论案例法两种。讲解案例法，是将案例教学融入传统的讲授教学法之中的一种方法。教学中使用的案例，通常是针对课程知识体系中的重点、难点问题设计的，也称“知识点案例”。讨论案例法，是以学生课堂讨论为主，案例是学生讨论的主题，学生通过对案例的剖析，提出各自的解决方案，并予以充分讨论</w:t>
      </w:r>
      <w:r>
        <w:rPr>
          <w:rFonts w:hint="eastAsia" w:ascii="仿宋" w:hAnsi="仿宋" w:eastAsia="仿宋" w:cs="仿宋"/>
          <w:bCs/>
          <w:color w:val="000000" w:themeColor="text1"/>
          <w:sz w:val="32"/>
          <w:szCs w:val="32"/>
          <w:lang w:eastAsia="zh-CN"/>
          <w14:textFill>
            <w14:solidFill>
              <w14:schemeClr w14:val="tx1"/>
            </w14:solidFill>
          </w14:textFill>
        </w:rPr>
        <w:t>。</w:t>
      </w:r>
    </w:p>
    <w:p>
      <w:pPr>
        <w:spacing w:line="560" w:lineRule="exact"/>
        <w:ind w:firstLine="570"/>
        <w:jc w:val="left"/>
        <w:outlineLvl w:val="2"/>
        <w:rPr>
          <w:rFonts w:hint="eastAsia" w:ascii="仿宋" w:hAnsi="仿宋" w:eastAsia="仿宋" w:cs="仿宋"/>
          <w:b/>
          <w:bCs w:val="0"/>
          <w:color w:val="000000" w:themeColor="text1"/>
          <w:sz w:val="32"/>
          <w:szCs w:val="32"/>
          <w14:textFill>
            <w14:solidFill>
              <w14:schemeClr w14:val="tx1"/>
            </w14:solidFill>
          </w14:textFill>
        </w:rPr>
      </w:pPr>
      <w:bookmarkStart w:id="95" w:name="_Toc13720"/>
      <w:bookmarkStart w:id="96" w:name="_Toc17095"/>
      <w:r>
        <w:rPr>
          <w:rFonts w:hint="eastAsia" w:ascii="仿宋" w:hAnsi="仿宋" w:eastAsia="仿宋" w:cs="仿宋"/>
          <w:b/>
          <w:bCs w:val="0"/>
          <w:color w:val="000000" w:themeColor="text1"/>
          <w:sz w:val="32"/>
          <w:szCs w:val="32"/>
          <w14:textFill>
            <w14:solidFill>
              <w14:schemeClr w14:val="tx1"/>
            </w14:solidFill>
          </w14:textFill>
        </w:rPr>
        <w:t>6.启发式教学法</w:t>
      </w:r>
      <w:bookmarkEnd w:id="95"/>
      <w:bookmarkEnd w:id="96"/>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启发式教学是根据教学目的和内容，通过设计启发、诱导型问题，引导学生养成多思考、善思考、勤思考的习惯，将问题解决贯穿于教学的每一环节，启迪学生思考，活跃学生思维，促进学生身心发展，提高学生学习的主动性、积极性和创造性，更好地激发学生的学习兴趣，加深对课程内容的理解。</w:t>
      </w:r>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97" w:name="_Toc19123"/>
      <w:bookmarkStart w:id="98" w:name="_Toc12900"/>
      <w:r>
        <w:rPr>
          <w:rFonts w:hint="eastAsia" w:ascii="楷体" w:hAnsi="楷体" w:eastAsia="楷体" w:cs="楷体"/>
          <w:b/>
          <w:bCs/>
          <w:color w:val="000000" w:themeColor="text1"/>
          <w:sz w:val="32"/>
          <w:szCs w:val="32"/>
          <w14:textFill>
            <w14:solidFill>
              <w14:schemeClr w14:val="tx1"/>
            </w14:solidFill>
          </w14:textFill>
        </w:rPr>
        <w:t>（五）学习评价</w:t>
      </w:r>
      <w:bookmarkEnd w:id="97"/>
      <w:bookmarkEnd w:id="98"/>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本专业针对不同教学与实践内容，构建多元化评价体系和模式。评价内容包括学生的知识掌握情况、实践操作能力、学习态度和基本职业素质等方面，突出对学生专业能力的考校评价。课程考核采用过程考核和结果考核相结合的评价方法，科学合理地评价学生学习的效果，引导学生注重学习过程，提高学生的学习兴趣。</w:t>
      </w:r>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评价过程中应注意以下几点：</w:t>
      </w:r>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1.结合课堂提问、现场操作、课后作业、模块考核等手段，构建“多形式、多项目”的课程考核标准，加强实践环节的考核，并注重平时采分。</w:t>
      </w:r>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.鼓励学生参加国家</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省、市级本专业技能比赛，以竞赛组织方级别和获奖等级为依据折合成相关专业课程的成绩。</w:t>
      </w:r>
    </w:p>
    <w:p>
      <w:pPr>
        <w:spacing w:line="560" w:lineRule="exact"/>
        <w:ind w:firstLine="570"/>
        <w:jc w:val="left"/>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w:t>
      </w:r>
      <w:r>
        <w:rPr>
          <w:rFonts w:hint="eastAsia" w:ascii="仿宋" w:hAnsi="仿宋" w:eastAsia="仿宋" w:cs="仿宋"/>
          <w:bCs/>
          <w:color w:val="000000" w:themeColor="text1"/>
          <w:sz w:val="32"/>
          <w:szCs w:val="32"/>
          <w14:textFill>
            <w14:solidFill>
              <w14:schemeClr w14:val="tx1"/>
            </w14:solidFill>
          </w14:textFill>
        </w:rPr>
        <w:t>.将学业考核与职业资格证书相结合，允许用职业资格证书替代相关专业的课程成绩。</w:t>
      </w:r>
    </w:p>
    <w:p>
      <w:pPr>
        <w:spacing w:line="560" w:lineRule="exact"/>
        <w:ind w:firstLine="570"/>
        <w:jc w:val="left"/>
        <w:outlineLvl w:val="2"/>
        <w:rPr>
          <w:rFonts w:hint="eastAsia" w:ascii="仿宋" w:hAnsi="仿宋" w:eastAsia="仿宋" w:cs="仿宋"/>
          <w:bCs/>
          <w:color w:val="000000" w:themeColor="text1"/>
          <w:sz w:val="32"/>
          <w:szCs w:val="32"/>
          <w14:textFill>
            <w14:solidFill>
              <w14:schemeClr w14:val="tx1"/>
            </w14:solidFill>
          </w14:textFill>
        </w:rPr>
      </w:pPr>
      <w:bookmarkStart w:id="99" w:name="_Toc25917"/>
      <w:bookmarkStart w:id="100" w:name="_Toc13353"/>
      <w:bookmarkStart w:id="101" w:name="_Toc3822"/>
      <w:bookmarkStart w:id="102" w:name="_Toc31677"/>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.吸纳行业企业和社会有关方面组织参与考核评价。</w:t>
      </w:r>
      <w:bookmarkEnd w:id="99"/>
      <w:bookmarkEnd w:id="100"/>
      <w:bookmarkEnd w:id="101"/>
      <w:bookmarkEnd w:id="102"/>
    </w:p>
    <w:p>
      <w:pPr>
        <w:spacing w:line="560" w:lineRule="exact"/>
        <w:ind w:firstLine="643" w:firstLineChars="200"/>
        <w:jc w:val="left"/>
        <w:outlineLvl w:val="1"/>
        <w:rPr>
          <w:rFonts w:hint="eastAsia" w:ascii="楷体" w:hAnsi="楷体" w:eastAsia="楷体" w:cs="楷体"/>
          <w:b/>
          <w:bCs/>
          <w:color w:val="000000" w:themeColor="text1"/>
          <w:sz w:val="32"/>
          <w:szCs w:val="32"/>
          <w14:textFill>
            <w14:solidFill>
              <w14:schemeClr w14:val="tx1"/>
            </w14:solidFill>
          </w14:textFill>
        </w:rPr>
      </w:pPr>
      <w:bookmarkStart w:id="103" w:name="_Toc1217"/>
      <w:bookmarkStart w:id="104" w:name="_Toc1117"/>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lang w:val="en-US" w:eastAsia="zh-CN"/>
          <w14:textFill>
            <w14:solidFill>
              <w14:schemeClr w14:val="tx1"/>
            </w14:solidFill>
          </w14:textFill>
        </w:rPr>
        <w:t>六</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质量管理</w:t>
      </w:r>
      <w:bookmarkEnd w:id="103"/>
      <w:bookmarkEnd w:id="104"/>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健全各级专业教学管理机构，明确职责，同时建立健全覆盖专业教学全过程的教学管理规章制度。具体包括人才培养的市场调研及培养方案的制订与修订，专业教学团队建设、课程建设、教材建设，网络教学资源建设，校内外实训实习基地建设，学生</w:t>
      </w:r>
      <w:r>
        <w:rPr>
          <w:rFonts w:hint="eastAsia" w:ascii="仿宋" w:hAnsi="仿宋" w:eastAsia="仿宋" w:cs="仿宋"/>
          <w:bCs/>
          <w:color w:val="000000" w:themeColor="text1"/>
          <w:sz w:val="32"/>
          <w:szCs w:val="32"/>
          <w:lang w:val="en-US" w:eastAsia="zh-CN"/>
          <w14:textFill>
            <w14:solidFill>
              <w14:schemeClr w14:val="tx1"/>
            </w14:solidFill>
          </w14:textFill>
        </w:rPr>
        <w:t>岗位</w:t>
      </w:r>
      <w:r>
        <w:rPr>
          <w:rFonts w:hint="eastAsia" w:ascii="仿宋" w:hAnsi="仿宋" w:eastAsia="仿宋" w:cs="仿宋"/>
          <w:bCs/>
          <w:color w:val="000000" w:themeColor="text1"/>
          <w:sz w:val="32"/>
          <w:szCs w:val="32"/>
          <w14:textFill>
            <w14:solidFill>
              <w14:schemeClr w14:val="tx1"/>
            </w14:solidFill>
          </w14:textFill>
        </w:rPr>
        <w:t>实习等专业社会实践活动的开展，对毕业生的跟踪调查以及社会服务与产学研合作等主要内容，以满足教学管理的需要。</w:t>
      </w:r>
    </w:p>
    <w:p>
      <w:pPr>
        <w:spacing w:line="560" w:lineRule="exact"/>
        <w:ind w:firstLine="570"/>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积极采用现代管理技术开展教学管理工作，切实保障教学管理工作的严格执行与教学管理措施的贯彻到位，保证人才培养质量，全面实现人才培养目标。</w:t>
      </w:r>
    </w:p>
    <w:p>
      <w:pPr>
        <w:spacing w:line="560" w:lineRule="exact"/>
        <w:ind w:firstLine="627" w:firstLineChars="196"/>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.完善教学管理机制，加强日常教学组织运行与管理，建立健全巡课、听课、评教、评学等制度，严明教学纪律，强化教学组织功能。定期开展公开课、示范课等教研活动。</w:t>
      </w:r>
    </w:p>
    <w:p>
      <w:pPr>
        <w:spacing w:line="560" w:lineRule="exact"/>
        <w:ind w:firstLine="640" w:firstLineChars="200"/>
        <w:jc w:val="left"/>
        <w:outlineLvl w:val="0"/>
        <w:rPr>
          <w:rFonts w:ascii="黑体" w:hAnsi="黑体" w:eastAsia="黑体" w:cs="黑体"/>
          <w:color w:val="000000" w:themeColor="text1"/>
          <w:sz w:val="32"/>
          <w:szCs w:val="32"/>
          <w14:textFill>
            <w14:solidFill>
              <w14:schemeClr w14:val="tx1"/>
            </w14:solidFill>
          </w14:textFill>
        </w:rPr>
      </w:pPr>
      <w:bookmarkStart w:id="105" w:name="_Toc7004"/>
      <w:bookmarkStart w:id="106" w:name="_Toc3516"/>
      <w:r>
        <w:rPr>
          <w:rFonts w:hint="eastAsia" w:ascii="黑体" w:hAnsi="黑体" w:eastAsia="黑体" w:cs="黑体"/>
          <w:color w:val="000000" w:themeColor="text1"/>
          <w:sz w:val="32"/>
          <w:szCs w:val="32"/>
          <w:lang w:val="en-US" w:eastAsia="zh-CN"/>
          <w14:textFill>
            <w14:solidFill>
              <w14:schemeClr w14:val="tx1"/>
            </w14:solidFill>
          </w14:textFill>
        </w:rPr>
        <w:t>十一</w:t>
      </w:r>
      <w:r>
        <w:rPr>
          <w:rFonts w:hint="eastAsia" w:ascii="黑体" w:hAnsi="黑体" w:eastAsia="黑体" w:cs="黑体"/>
          <w:color w:val="000000" w:themeColor="text1"/>
          <w:sz w:val="32"/>
          <w:szCs w:val="32"/>
          <w14:textFill>
            <w14:solidFill>
              <w14:schemeClr w14:val="tx1"/>
            </w14:solidFill>
          </w14:textFill>
        </w:rPr>
        <w:t>、毕业要求</w:t>
      </w:r>
      <w:bookmarkEnd w:id="105"/>
      <w:bookmarkEnd w:id="106"/>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学生修完本专业人才培养方案所规定的课程并成绩合格，达到本专业人才培养目标和培养规格的要求方可毕业。</w:t>
      </w:r>
    </w:p>
    <w:p>
      <w:pPr>
        <w:pStyle w:val="2"/>
        <w:ind w:left="0" w:leftChars="0" w:firstLine="640" w:firstLineChars="200"/>
        <w:rPr>
          <w:rFonts w:ascii="黑体" w:hAnsi="黑体" w:eastAsia="黑体" w:cs="黑体"/>
          <w:color w:val="000000" w:themeColor="text1"/>
          <w:sz w:val="32"/>
          <w:szCs w:val="32"/>
          <w:lang w:val="en-US" w:bidi="ar-SA"/>
          <w14:textFill>
            <w14:solidFill>
              <w14:schemeClr w14:val="tx1"/>
            </w14:solidFill>
          </w14:textFill>
        </w:rPr>
      </w:pPr>
      <w:bookmarkStart w:id="107" w:name="_Toc23913"/>
      <w:bookmarkStart w:id="108" w:name="_Toc26406"/>
      <w:r>
        <w:rPr>
          <w:rFonts w:hint="eastAsia" w:ascii="黑体" w:hAnsi="黑体" w:eastAsia="黑体" w:cs="黑体"/>
          <w:color w:val="000000" w:themeColor="text1"/>
          <w:sz w:val="32"/>
          <w:szCs w:val="32"/>
          <w:lang w:val="en-US" w:bidi="ar-SA"/>
          <w14:textFill>
            <w14:solidFill>
              <w14:schemeClr w14:val="tx1"/>
            </w14:solidFill>
          </w14:textFill>
        </w:rPr>
        <w:t>十</w:t>
      </w:r>
      <w:r>
        <w:rPr>
          <w:rFonts w:hint="eastAsia" w:ascii="黑体" w:hAnsi="黑体" w:eastAsia="黑体" w:cs="黑体"/>
          <w:color w:val="000000" w:themeColor="text1"/>
          <w:sz w:val="32"/>
          <w:szCs w:val="32"/>
          <w:lang w:val="en-US" w:eastAsia="zh-CN" w:bidi="ar-SA"/>
          <w14:textFill>
            <w14:solidFill>
              <w14:schemeClr w14:val="tx1"/>
            </w14:solidFill>
          </w14:textFill>
        </w:rPr>
        <w:t>二</w:t>
      </w:r>
      <w:r>
        <w:rPr>
          <w:rFonts w:hint="eastAsia" w:ascii="黑体" w:hAnsi="黑体" w:eastAsia="黑体" w:cs="黑体"/>
          <w:color w:val="000000" w:themeColor="text1"/>
          <w:sz w:val="32"/>
          <w:szCs w:val="32"/>
          <w:lang w:val="en-US" w:bidi="ar-SA"/>
          <w14:textFill>
            <w14:solidFill>
              <w14:schemeClr w14:val="tx1"/>
            </w14:solidFill>
          </w14:textFill>
        </w:rPr>
        <w:t>、接续专业举例</w:t>
      </w:r>
      <w:bookmarkEnd w:id="107"/>
      <w:bookmarkEnd w:id="108"/>
    </w:p>
    <w:p>
      <w:pPr>
        <w:spacing w:line="560" w:lineRule="exact"/>
        <w:ind w:firstLine="627" w:firstLineChars="196"/>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接续高职专科专业举例：</w:t>
      </w:r>
      <w:r>
        <w:rPr>
          <w:rFonts w:hint="eastAsia" w:ascii="仿宋" w:hAnsi="仿宋" w:eastAsia="仿宋" w:cs="仿宋"/>
          <w:bCs/>
          <w:color w:val="000000" w:themeColor="text1"/>
          <w:sz w:val="32"/>
          <w:szCs w:val="32"/>
          <w:highlight w:val="none"/>
          <w14:textFill>
            <w14:solidFill>
              <w14:schemeClr w14:val="tx1"/>
            </w14:solidFill>
          </w14:textFill>
        </w:rPr>
        <w:t>财税大数据应用、大数据与财务管理、大数据与会计、大数据与审计、会计信息管理等</w:t>
      </w:r>
      <w:r>
        <w:rPr>
          <w:rFonts w:hint="eastAsia" w:ascii="仿宋" w:hAnsi="仿宋" w:eastAsia="仿宋" w:cs="仿宋"/>
          <w:bCs/>
          <w:color w:val="000000" w:themeColor="text1"/>
          <w:sz w:val="32"/>
          <w:szCs w:val="32"/>
          <w14:textFill>
            <w14:solidFill>
              <w14:schemeClr w14:val="tx1"/>
            </w14:solidFill>
          </w14:textFill>
        </w:rPr>
        <w:t>。</w:t>
      </w:r>
    </w:p>
    <w:p>
      <w:pPr>
        <w:spacing w:line="560" w:lineRule="exact"/>
        <w:ind w:firstLine="627" w:firstLineChars="196"/>
        <w:jc w:val="left"/>
        <w:rPr>
          <w:rFonts w:hint="default" w:ascii="仿宋" w:hAnsi="仿宋" w:eastAsia="仿宋" w:cs="仿宋"/>
          <w:bCs/>
          <w:color w:val="000000" w:themeColor="text1"/>
          <w:sz w:val="32"/>
          <w:szCs w:val="32"/>
          <w:lang w:val="en-US"/>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接续普通本科专业举例：财务管理、会计学、审计学、财务会计教育等。</w:t>
      </w:r>
    </w:p>
    <w:p>
      <w:pPr>
        <w:pStyle w:val="2"/>
        <w:outlineLvl w:val="9"/>
        <w:rPr>
          <w:rFonts w:hint="eastAsia"/>
          <w:color w:val="FF0000"/>
          <w:sz w:val="32"/>
          <w:lang w:val="en-US" w:bidi="ar-SA"/>
        </w:rPr>
      </w:pPr>
    </w:p>
    <w:p/>
    <w:sectPr>
      <w:headerReference r:id="rId3" w:type="default"/>
      <w:footerReference r:id="rId4" w:type="default"/>
      <w:pgSz w:w="11906" w:h="16838"/>
      <w:pgMar w:top="1417"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B56E8B-7D8E-4B0B-B3C7-8677CD2333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58C341C0-1CF0-47EE-B97D-F2AC8FFA1E93}"/>
  </w:font>
  <w:font w:name="仿宋">
    <w:panose1 w:val="02010609060101010101"/>
    <w:charset w:val="86"/>
    <w:family w:val="modern"/>
    <w:pitch w:val="default"/>
    <w:sig w:usb0="800002BF" w:usb1="38CF7CFA" w:usb2="00000016" w:usb3="00000000" w:csb0="00040001" w:csb1="00000000"/>
    <w:embedRegular r:id="rId3" w:fontKey="{CE541CFA-B200-4BA6-8FB7-8D36C6185687}"/>
  </w:font>
  <w:font w:name="楷体">
    <w:panose1 w:val="02010609060101010101"/>
    <w:charset w:val="86"/>
    <w:family w:val="modern"/>
    <w:pitch w:val="default"/>
    <w:sig w:usb0="800002BF" w:usb1="38CF7CFA" w:usb2="00000016" w:usb3="00000000" w:csb0="00040001" w:csb1="00000000"/>
    <w:embedRegular r:id="rId4" w:fontKey="{F050D90F-3B7D-4377-A1EE-5C13C0F20E75}"/>
  </w:font>
  <w:font w:name="仿宋_GB2312">
    <w:panose1 w:val="02010609030101010101"/>
    <w:charset w:val="86"/>
    <w:family w:val="modern"/>
    <w:pitch w:val="default"/>
    <w:sig w:usb0="00000001" w:usb1="080E0000" w:usb2="00000000" w:usb3="00000000" w:csb0="00040000" w:csb1="00000000"/>
    <w:embedRegular r:id="rId5" w:fontKey="{9BFAA47D-8B76-4501-AC05-8B1E0E1B5F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1"/>
        <w:left w:val="none" w:color="auto" w:sz="0" w:space="4"/>
        <w:bottom w:val="none" w:color="auto" w:sz="0" w:space="1"/>
        <w:right w:val="none" w:color="auto" w:sz="0" w:space="4"/>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val="en-US" w:eastAsia="zh-CN"/>
      </w:rPr>
    </w:pPr>
    <w:r>
      <w:rPr>
        <w:rFonts w:hint="eastAsia"/>
        <w:lang w:val="en-US" w:eastAsia="zh-CN"/>
      </w:rPr>
      <w:t xml:space="preserve">                                                                             石家庄财经商贸学校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0C7C2"/>
    <w:multiLevelType w:val="singleLevel"/>
    <w:tmpl w:val="2210C7C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ZWM5YTNhOTBkZDJjYmU0OTE3YTEwOTUyMGU5OTQifQ=="/>
  </w:docVars>
  <w:rsids>
    <w:rsidRoot w:val="00100210"/>
    <w:rsid w:val="00032DC5"/>
    <w:rsid w:val="000369AA"/>
    <w:rsid w:val="0004303D"/>
    <w:rsid w:val="000443CC"/>
    <w:rsid w:val="000740BA"/>
    <w:rsid w:val="00096DF9"/>
    <w:rsid w:val="000C7954"/>
    <w:rsid w:val="000D1E49"/>
    <w:rsid w:val="000F4823"/>
    <w:rsid w:val="00100210"/>
    <w:rsid w:val="00106D80"/>
    <w:rsid w:val="00111F72"/>
    <w:rsid w:val="001240F0"/>
    <w:rsid w:val="00144E6F"/>
    <w:rsid w:val="001674D1"/>
    <w:rsid w:val="00173ADE"/>
    <w:rsid w:val="00185A5E"/>
    <w:rsid w:val="001C1D7A"/>
    <w:rsid w:val="001D31EC"/>
    <w:rsid w:val="00205BDC"/>
    <w:rsid w:val="00215842"/>
    <w:rsid w:val="00256AE1"/>
    <w:rsid w:val="002642B5"/>
    <w:rsid w:val="00270247"/>
    <w:rsid w:val="002C076B"/>
    <w:rsid w:val="002C2950"/>
    <w:rsid w:val="002C70FB"/>
    <w:rsid w:val="002D3BD5"/>
    <w:rsid w:val="002E547F"/>
    <w:rsid w:val="00303F21"/>
    <w:rsid w:val="00310D19"/>
    <w:rsid w:val="0034209D"/>
    <w:rsid w:val="0039446D"/>
    <w:rsid w:val="003974EC"/>
    <w:rsid w:val="003B19CD"/>
    <w:rsid w:val="003B5247"/>
    <w:rsid w:val="003E1855"/>
    <w:rsid w:val="003F30B1"/>
    <w:rsid w:val="003F34B1"/>
    <w:rsid w:val="003F70AE"/>
    <w:rsid w:val="00406E2C"/>
    <w:rsid w:val="004131A4"/>
    <w:rsid w:val="00427B89"/>
    <w:rsid w:val="00437874"/>
    <w:rsid w:val="00441685"/>
    <w:rsid w:val="00444061"/>
    <w:rsid w:val="00455438"/>
    <w:rsid w:val="00473DA8"/>
    <w:rsid w:val="004A081E"/>
    <w:rsid w:val="004A3F01"/>
    <w:rsid w:val="004A7F00"/>
    <w:rsid w:val="004C454F"/>
    <w:rsid w:val="004D55CA"/>
    <w:rsid w:val="004E015D"/>
    <w:rsid w:val="00503079"/>
    <w:rsid w:val="00514ED8"/>
    <w:rsid w:val="00571BAF"/>
    <w:rsid w:val="00581B78"/>
    <w:rsid w:val="005C1BFE"/>
    <w:rsid w:val="005E126F"/>
    <w:rsid w:val="005F298D"/>
    <w:rsid w:val="006076CB"/>
    <w:rsid w:val="006408F8"/>
    <w:rsid w:val="00656CD9"/>
    <w:rsid w:val="00691C72"/>
    <w:rsid w:val="006C416F"/>
    <w:rsid w:val="006D122A"/>
    <w:rsid w:val="006E156C"/>
    <w:rsid w:val="00713B81"/>
    <w:rsid w:val="00732C4A"/>
    <w:rsid w:val="00747A59"/>
    <w:rsid w:val="007D7997"/>
    <w:rsid w:val="008415F4"/>
    <w:rsid w:val="00844648"/>
    <w:rsid w:val="008533CE"/>
    <w:rsid w:val="008614D6"/>
    <w:rsid w:val="008A7114"/>
    <w:rsid w:val="008B6DA4"/>
    <w:rsid w:val="00902908"/>
    <w:rsid w:val="00923E5A"/>
    <w:rsid w:val="009263BB"/>
    <w:rsid w:val="009542C2"/>
    <w:rsid w:val="009576D7"/>
    <w:rsid w:val="0096046B"/>
    <w:rsid w:val="009960D3"/>
    <w:rsid w:val="009C1ADD"/>
    <w:rsid w:val="009C70B9"/>
    <w:rsid w:val="009D52C9"/>
    <w:rsid w:val="00A3043A"/>
    <w:rsid w:val="00A445C7"/>
    <w:rsid w:val="00A822D0"/>
    <w:rsid w:val="00AF42AE"/>
    <w:rsid w:val="00B0289B"/>
    <w:rsid w:val="00B06BF2"/>
    <w:rsid w:val="00B17230"/>
    <w:rsid w:val="00B42E5E"/>
    <w:rsid w:val="00B5098A"/>
    <w:rsid w:val="00B52B47"/>
    <w:rsid w:val="00B9046B"/>
    <w:rsid w:val="00BD39B1"/>
    <w:rsid w:val="00C46046"/>
    <w:rsid w:val="00CB280F"/>
    <w:rsid w:val="00CC065A"/>
    <w:rsid w:val="00D014E2"/>
    <w:rsid w:val="00D22EBC"/>
    <w:rsid w:val="00D32F62"/>
    <w:rsid w:val="00D37ABB"/>
    <w:rsid w:val="00D42C04"/>
    <w:rsid w:val="00D4309A"/>
    <w:rsid w:val="00D72799"/>
    <w:rsid w:val="00D93BBC"/>
    <w:rsid w:val="00DC496D"/>
    <w:rsid w:val="00DC5BD6"/>
    <w:rsid w:val="00DE36EA"/>
    <w:rsid w:val="00DE677C"/>
    <w:rsid w:val="00DF6AB5"/>
    <w:rsid w:val="00DF6C02"/>
    <w:rsid w:val="00E02047"/>
    <w:rsid w:val="00E052B8"/>
    <w:rsid w:val="00E26D88"/>
    <w:rsid w:val="00E47D09"/>
    <w:rsid w:val="00E84F4E"/>
    <w:rsid w:val="00E96D3A"/>
    <w:rsid w:val="00EC2BBA"/>
    <w:rsid w:val="00ED6820"/>
    <w:rsid w:val="00EF0F8C"/>
    <w:rsid w:val="00F444E1"/>
    <w:rsid w:val="00F82C0E"/>
    <w:rsid w:val="00F87C0A"/>
    <w:rsid w:val="00F9175A"/>
    <w:rsid w:val="00F93ED3"/>
    <w:rsid w:val="00FA6E2C"/>
    <w:rsid w:val="00FB6A8C"/>
    <w:rsid w:val="00FD78B9"/>
    <w:rsid w:val="00FE7A39"/>
    <w:rsid w:val="0123324D"/>
    <w:rsid w:val="02D85EB2"/>
    <w:rsid w:val="02EA5917"/>
    <w:rsid w:val="04D81AB7"/>
    <w:rsid w:val="05373B10"/>
    <w:rsid w:val="063E0A32"/>
    <w:rsid w:val="069846F5"/>
    <w:rsid w:val="06E16A66"/>
    <w:rsid w:val="088C4D6A"/>
    <w:rsid w:val="08E94A39"/>
    <w:rsid w:val="091C32AD"/>
    <w:rsid w:val="09467B5D"/>
    <w:rsid w:val="0B430809"/>
    <w:rsid w:val="0B811AED"/>
    <w:rsid w:val="0CD65AC1"/>
    <w:rsid w:val="0CDD0FA5"/>
    <w:rsid w:val="0D3F520E"/>
    <w:rsid w:val="0DF447F8"/>
    <w:rsid w:val="0E160667"/>
    <w:rsid w:val="0E625BB2"/>
    <w:rsid w:val="0EC51CF1"/>
    <w:rsid w:val="0ECB5B6B"/>
    <w:rsid w:val="0F247153"/>
    <w:rsid w:val="0F5B4751"/>
    <w:rsid w:val="102313C5"/>
    <w:rsid w:val="102B5D95"/>
    <w:rsid w:val="10572E1C"/>
    <w:rsid w:val="11A35B3D"/>
    <w:rsid w:val="12C14EC5"/>
    <w:rsid w:val="12FE508A"/>
    <w:rsid w:val="136B7DBC"/>
    <w:rsid w:val="138D6DEC"/>
    <w:rsid w:val="13A4337D"/>
    <w:rsid w:val="149D23A8"/>
    <w:rsid w:val="14D06118"/>
    <w:rsid w:val="151A1B54"/>
    <w:rsid w:val="15B55F3F"/>
    <w:rsid w:val="1623663A"/>
    <w:rsid w:val="164C76BB"/>
    <w:rsid w:val="182F1870"/>
    <w:rsid w:val="183B566C"/>
    <w:rsid w:val="198151FF"/>
    <w:rsid w:val="19AE45A5"/>
    <w:rsid w:val="1A1A0373"/>
    <w:rsid w:val="1A255D39"/>
    <w:rsid w:val="1A8C42F1"/>
    <w:rsid w:val="1B0B196C"/>
    <w:rsid w:val="1B6F1962"/>
    <w:rsid w:val="1D2D5EFB"/>
    <w:rsid w:val="1DDF63ED"/>
    <w:rsid w:val="1FD06747"/>
    <w:rsid w:val="21A41C3A"/>
    <w:rsid w:val="220D77DF"/>
    <w:rsid w:val="22DB371C"/>
    <w:rsid w:val="23024E6A"/>
    <w:rsid w:val="230706D2"/>
    <w:rsid w:val="23B71BC2"/>
    <w:rsid w:val="24092228"/>
    <w:rsid w:val="24CC572F"/>
    <w:rsid w:val="256E6505"/>
    <w:rsid w:val="257858B7"/>
    <w:rsid w:val="25AB7A3A"/>
    <w:rsid w:val="26993D37"/>
    <w:rsid w:val="26B81385"/>
    <w:rsid w:val="27415264"/>
    <w:rsid w:val="276D3C0B"/>
    <w:rsid w:val="295E48AC"/>
    <w:rsid w:val="2B373B1E"/>
    <w:rsid w:val="2B3C2EE3"/>
    <w:rsid w:val="2B4071BA"/>
    <w:rsid w:val="2CD21D51"/>
    <w:rsid w:val="2CD535EF"/>
    <w:rsid w:val="2D0A5F7B"/>
    <w:rsid w:val="2E1D31F2"/>
    <w:rsid w:val="2E54303D"/>
    <w:rsid w:val="2E853376"/>
    <w:rsid w:val="2E9D638E"/>
    <w:rsid w:val="2F204FF5"/>
    <w:rsid w:val="2F997C91"/>
    <w:rsid w:val="2FF6078B"/>
    <w:rsid w:val="2FF63037"/>
    <w:rsid w:val="30516BD9"/>
    <w:rsid w:val="3130246D"/>
    <w:rsid w:val="326C2300"/>
    <w:rsid w:val="329545AB"/>
    <w:rsid w:val="32B141B6"/>
    <w:rsid w:val="332847BE"/>
    <w:rsid w:val="33BE724F"/>
    <w:rsid w:val="33E02FA5"/>
    <w:rsid w:val="347B4A7C"/>
    <w:rsid w:val="355F7A83"/>
    <w:rsid w:val="377A101B"/>
    <w:rsid w:val="37E1109A"/>
    <w:rsid w:val="3A2F7418"/>
    <w:rsid w:val="3ADF74BC"/>
    <w:rsid w:val="3B1479D8"/>
    <w:rsid w:val="3B787F67"/>
    <w:rsid w:val="3D22254D"/>
    <w:rsid w:val="3D4E2867"/>
    <w:rsid w:val="3DF15DAF"/>
    <w:rsid w:val="3E24645A"/>
    <w:rsid w:val="3EDE6333"/>
    <w:rsid w:val="3F0A7128"/>
    <w:rsid w:val="3F4462B2"/>
    <w:rsid w:val="3F921404"/>
    <w:rsid w:val="40EC7E53"/>
    <w:rsid w:val="41585FD8"/>
    <w:rsid w:val="42DE25ED"/>
    <w:rsid w:val="434B5C74"/>
    <w:rsid w:val="43903FD4"/>
    <w:rsid w:val="44016286"/>
    <w:rsid w:val="44123314"/>
    <w:rsid w:val="446C43E1"/>
    <w:rsid w:val="448E07FB"/>
    <w:rsid w:val="456E55CE"/>
    <w:rsid w:val="45B1409B"/>
    <w:rsid w:val="45F428E0"/>
    <w:rsid w:val="46136855"/>
    <w:rsid w:val="47461A98"/>
    <w:rsid w:val="47503B46"/>
    <w:rsid w:val="47954D07"/>
    <w:rsid w:val="486E3F7E"/>
    <w:rsid w:val="48707C11"/>
    <w:rsid w:val="49415E3C"/>
    <w:rsid w:val="49423F82"/>
    <w:rsid w:val="49F16E16"/>
    <w:rsid w:val="4A833B86"/>
    <w:rsid w:val="4B7B0E38"/>
    <w:rsid w:val="4C3929FC"/>
    <w:rsid w:val="4C8F331D"/>
    <w:rsid w:val="4E2207FC"/>
    <w:rsid w:val="4F4E660B"/>
    <w:rsid w:val="4FC703DF"/>
    <w:rsid w:val="4FD55530"/>
    <w:rsid w:val="508E59BA"/>
    <w:rsid w:val="51CC64BF"/>
    <w:rsid w:val="540930BB"/>
    <w:rsid w:val="546E7D01"/>
    <w:rsid w:val="553A466A"/>
    <w:rsid w:val="55857A6A"/>
    <w:rsid w:val="56EA5E07"/>
    <w:rsid w:val="57914433"/>
    <w:rsid w:val="58190ED2"/>
    <w:rsid w:val="581F37ED"/>
    <w:rsid w:val="58353010"/>
    <w:rsid w:val="58477283"/>
    <w:rsid w:val="5AF44BD5"/>
    <w:rsid w:val="5B467F48"/>
    <w:rsid w:val="5D69746A"/>
    <w:rsid w:val="5D6D6DA8"/>
    <w:rsid w:val="608A7C71"/>
    <w:rsid w:val="622928C7"/>
    <w:rsid w:val="64BC23C3"/>
    <w:rsid w:val="658F7382"/>
    <w:rsid w:val="667E1760"/>
    <w:rsid w:val="671E6944"/>
    <w:rsid w:val="6A0C333F"/>
    <w:rsid w:val="6ACF5FB6"/>
    <w:rsid w:val="6BB40184"/>
    <w:rsid w:val="6BD61FBC"/>
    <w:rsid w:val="6C2C15E3"/>
    <w:rsid w:val="6CE150BD"/>
    <w:rsid w:val="6EA35E84"/>
    <w:rsid w:val="6F23306A"/>
    <w:rsid w:val="70A1528F"/>
    <w:rsid w:val="70B7156B"/>
    <w:rsid w:val="70FC60D0"/>
    <w:rsid w:val="713C2FB5"/>
    <w:rsid w:val="71B51B26"/>
    <w:rsid w:val="71DB6FD3"/>
    <w:rsid w:val="71E415DB"/>
    <w:rsid w:val="71F31B1A"/>
    <w:rsid w:val="7229553C"/>
    <w:rsid w:val="72A02B79"/>
    <w:rsid w:val="73F25315"/>
    <w:rsid w:val="74196E47"/>
    <w:rsid w:val="74685495"/>
    <w:rsid w:val="75EA4FE2"/>
    <w:rsid w:val="76003C61"/>
    <w:rsid w:val="76296BDC"/>
    <w:rsid w:val="76524935"/>
    <w:rsid w:val="766D277C"/>
    <w:rsid w:val="76726D86"/>
    <w:rsid w:val="773F3B6C"/>
    <w:rsid w:val="77660A29"/>
    <w:rsid w:val="77A12513"/>
    <w:rsid w:val="794F076B"/>
    <w:rsid w:val="79541036"/>
    <w:rsid w:val="79E8523D"/>
    <w:rsid w:val="7B5829EE"/>
    <w:rsid w:val="7B95779E"/>
    <w:rsid w:val="7BF0749C"/>
    <w:rsid w:val="7CCB794F"/>
    <w:rsid w:val="7D225EC3"/>
    <w:rsid w:val="7D76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758" w:right="765"/>
      <w:outlineLvl w:val="0"/>
    </w:pPr>
    <w:rPr>
      <w:rFonts w:ascii="宋体" w:hAnsi="宋体" w:cs="宋体"/>
      <w:sz w:val="44"/>
      <w:szCs w:val="44"/>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unhideWhenUsed/>
    <w:qFormat/>
    <w:uiPriority w:val="1"/>
    <w:pPr>
      <w:spacing w:after="120"/>
    </w:pPr>
  </w:style>
  <w:style w:type="paragraph" w:styleId="4">
    <w:name w:val="toc 3"/>
    <w:basedOn w:val="1"/>
    <w:next w:val="1"/>
    <w:semiHidden/>
    <w:unhideWhenUsed/>
    <w:qFormat/>
    <w:uiPriority w:val="39"/>
    <w:pPr>
      <w:ind w:left="840" w:leftChars="4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Hyperlink"/>
    <w:basedOn w:val="12"/>
    <w:semiHidden/>
    <w:unhideWhenUsed/>
    <w:qFormat/>
    <w:uiPriority w:val="99"/>
    <w:rPr>
      <w:color w:val="0000FF"/>
      <w:u w:val="single"/>
    </w:rPr>
  </w:style>
  <w:style w:type="character" w:customStyle="1" w:styleId="15">
    <w:name w:val="页眉 字符"/>
    <w:basedOn w:val="12"/>
    <w:link w:val="7"/>
    <w:qFormat/>
    <w:uiPriority w:val="99"/>
    <w:rPr>
      <w:rFonts w:ascii="Calibri" w:hAnsi="Calibri" w:eastAsia="宋体" w:cs="Times New Roman"/>
      <w:sz w:val="18"/>
      <w:szCs w:val="18"/>
    </w:rPr>
  </w:style>
  <w:style w:type="character" w:customStyle="1" w:styleId="16">
    <w:name w:val="页脚 字符"/>
    <w:basedOn w:val="12"/>
    <w:link w:val="6"/>
    <w:qFormat/>
    <w:uiPriority w:val="99"/>
    <w:rPr>
      <w:rFonts w:ascii="Calibri" w:hAnsi="Calibri" w:eastAsia="宋体" w:cs="Times New Roman"/>
      <w:sz w:val="18"/>
      <w:szCs w:val="18"/>
    </w:rPr>
  </w:style>
  <w:style w:type="character" w:customStyle="1" w:styleId="17">
    <w:name w:val="批注框文本 字符"/>
    <w:basedOn w:val="12"/>
    <w:link w:val="5"/>
    <w:semiHidden/>
    <w:qFormat/>
    <w:uiPriority w:val="99"/>
    <w:rPr>
      <w:rFonts w:ascii="Calibri" w:hAnsi="Calibri" w:eastAsia="宋体" w:cs="Times New Roman"/>
      <w:sz w:val="18"/>
      <w:szCs w:val="18"/>
    </w:rPr>
  </w:style>
  <w:style w:type="paragraph" w:customStyle="1" w:styleId="18">
    <w:name w:val="b"/>
    <w:basedOn w:val="1"/>
    <w:qFormat/>
    <w:uiPriority w:val="0"/>
    <w:pPr>
      <w:spacing w:line="360" w:lineRule="auto"/>
      <w:ind w:firstLine="200" w:firstLineChars="200"/>
    </w:pPr>
    <w:rPr>
      <w:rFonts w:ascii="Times New Roman" w:hAnsi="Times New Roman" w:eastAsia="华文行楷"/>
      <w:szCs w:val="24"/>
    </w:rPr>
  </w:style>
  <w:style w:type="character" w:customStyle="1" w:styleId="19">
    <w:name w:val="正文文本 字符"/>
    <w:basedOn w:val="12"/>
    <w:link w:val="3"/>
    <w:qFormat/>
    <w:uiPriority w:val="1"/>
    <w:rPr>
      <w:rFonts w:ascii="Calibri" w:hAnsi="Calibri" w:eastAsia="宋体" w:cs="Times New Roman"/>
    </w:rPr>
  </w:style>
  <w:style w:type="paragraph" w:styleId="20">
    <w:name w:val="List Paragraph"/>
    <w:basedOn w:val="1"/>
    <w:qFormat/>
    <w:uiPriority w:val="34"/>
    <w:pPr>
      <w:ind w:firstLine="420" w:firstLineChars="200"/>
    </w:pPr>
  </w:style>
  <w:style w:type="character" w:customStyle="1" w:styleId="21">
    <w:name w:val="font21"/>
    <w:basedOn w:val="12"/>
    <w:qFormat/>
    <w:uiPriority w:val="0"/>
    <w:rPr>
      <w:rFonts w:ascii="Calibri" w:hAnsi="Calibri" w:cs="Calibri"/>
      <w:color w:val="000000"/>
      <w:sz w:val="22"/>
      <w:szCs w:val="22"/>
      <w:u w:val="none"/>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41"/>
    <w:basedOn w:val="12"/>
    <w:qFormat/>
    <w:uiPriority w:val="0"/>
    <w:rPr>
      <w:rFonts w:hint="eastAsia" w:ascii="宋体" w:hAnsi="宋体" w:eastAsia="宋体" w:cs="宋体"/>
      <w:color w:val="000000"/>
      <w:sz w:val="30"/>
      <w:szCs w:val="30"/>
      <w:u w:val="non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66E856-85F1-4140-870C-932F9E89B555}">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22</Pages>
  <Words>11533</Words>
  <Characters>11852</Characters>
  <Lines>70</Lines>
  <Paragraphs>19</Paragraphs>
  <TotalTime>7</TotalTime>
  <ScaleCrop>false</ScaleCrop>
  <LinksUpToDate>false</LinksUpToDate>
  <CharactersWithSpaces>12315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2020-05-01T02:55:00Z</dcterms:created>
  <dc:creator>HP</dc:creator>
  <cp:lastModifiedBy>payson</cp:lastModifiedBy>
  <dcterms:modified xsi:type="dcterms:W3CDTF">2023-10-16T08:46:04Z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B574BF43E1BA4B108AFB897567076DED</vt:lpwstr>
  </property>
</Properties>
</file>