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石家庄财经商贸学校</w:t>
      </w:r>
    </w:p>
    <w:p>
      <w:pPr>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 xml:space="preserve"> “3+2”贯通培养</w:t>
      </w:r>
    </w:p>
    <w:p>
      <w:pPr>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23级金融事务专业人才培养方案</w:t>
      </w:r>
    </w:p>
    <w:p>
      <w:pPr>
        <w:pStyle w:val="2"/>
        <w:keepNext w:val="0"/>
        <w:keepLines w:val="0"/>
        <w:pageBreakBefore w:val="0"/>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（对接河北青年管理干部学院）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 xml:space="preserve">一、专业名称及代码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中职教育阶段：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专业名称：</w:t>
      </w:r>
      <w:r>
        <w:rPr>
          <w:rFonts w:hint="eastAsia" w:ascii="仿宋" w:hAnsi="仿宋" w:eastAsia="仿宋" w:cs="仿宋"/>
          <w:bCs/>
          <w:color w:val="000000" w:themeColor="text1"/>
          <w:sz w:val="32"/>
          <w:szCs w:val="32"/>
          <w:lang w:val="en-US" w:eastAsia="zh-CN"/>
          <w14:textFill>
            <w14:solidFill>
              <w14:schemeClr w14:val="tx1"/>
            </w14:solidFill>
          </w14:textFill>
        </w:rPr>
        <w:t>金融事务</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专业代码：</w:t>
      </w:r>
      <w:r>
        <w:rPr>
          <w:rFonts w:hint="eastAsia" w:ascii="仿宋" w:hAnsi="仿宋" w:eastAsia="仿宋" w:cs="仿宋"/>
          <w:bCs/>
          <w:color w:val="000000" w:themeColor="text1"/>
          <w:sz w:val="32"/>
          <w:szCs w:val="32"/>
          <w:lang w:val="en-US" w:eastAsia="zh-CN"/>
          <w14:textFill>
            <w14:solidFill>
              <w14:schemeClr w14:val="tx1"/>
            </w14:solidFill>
          </w14:textFill>
        </w:rPr>
        <w:t>730201</w:t>
      </w: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高职教育阶段：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专业名称：金融服务与管理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eastAsia" w:ascii="仿宋" w:hAnsi="仿宋" w:eastAsia="仿宋" w:cs="仿宋"/>
          <w:color w:val="000000"/>
          <w:kern w:val="0"/>
          <w:sz w:val="31"/>
          <w:szCs w:val="31"/>
          <w:lang w:val="en-US" w:eastAsia="zh-CN" w:bidi="ar"/>
        </w:rPr>
        <w:t>专业代码：530201</w:t>
      </w:r>
      <w:r>
        <w:rPr>
          <w:rFonts w:hint="eastAsia" w:ascii="方正仿宋_GB2312" w:hAnsi="方正仿宋_GB2312" w:eastAsia="方正仿宋_GB2312" w:cs="方正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二、入学要求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中职阶段：初中毕业生或具有同等学力者。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高职阶段：中等职业学校对口毕业生。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三、修业年限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 年全日制教育：3 年中职教育+2 年高职教育</w:t>
      </w:r>
    </w:p>
    <w:p>
      <w:pPr>
        <w:spacing w:line="560" w:lineRule="exact"/>
        <w:ind w:firstLine="640" w:firstLineChars="200"/>
        <w:jc w:val="left"/>
        <w:outlineLvl w:val="0"/>
        <w:rPr>
          <w:rFonts w:hint="eastAsia" w:ascii="黑体" w:hAnsi="黑体" w:eastAsia="黑体" w:cs="黑体"/>
          <w:color w:val="000000" w:themeColor="text1"/>
          <w:sz w:val="32"/>
          <w:szCs w:val="32"/>
          <w14:textFill>
            <w14:solidFill>
              <w14:schemeClr w14:val="tx1"/>
            </w14:solidFill>
          </w14:textFill>
        </w:rPr>
      </w:pPr>
      <w:bookmarkStart w:id="0" w:name="_Toc23741"/>
      <w:bookmarkStart w:id="1" w:name="_Toc15542"/>
      <w:r>
        <w:rPr>
          <w:rFonts w:hint="eastAsia" w:ascii="黑体" w:hAnsi="黑体" w:eastAsia="黑体" w:cs="黑体"/>
          <w:color w:val="000000" w:themeColor="text1"/>
          <w:sz w:val="32"/>
          <w:szCs w:val="32"/>
          <w14:textFill>
            <w14:solidFill>
              <w14:schemeClr w14:val="tx1"/>
            </w14:solidFill>
          </w14:textFill>
        </w:rPr>
        <w:t>四、职业面向</w:t>
      </w:r>
      <w:bookmarkEnd w:id="0"/>
      <w:bookmarkEnd w:id="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9" w:type="dxa"/>
            <w:vAlign w:val="center"/>
          </w:tcPr>
          <w:p>
            <w:pPr>
              <w:spacing w:line="56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6270" w:type="dxa"/>
            <w:vAlign w:val="center"/>
          </w:tcPr>
          <w:p>
            <w:pPr>
              <w:spacing w:line="400" w:lineRule="exact"/>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财经商贸大类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89" w:type="dxa"/>
            <w:vAlign w:val="center"/>
          </w:tcPr>
          <w:p>
            <w:pPr>
              <w:spacing w:line="56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6270" w:type="dxa"/>
            <w:vAlign w:val="center"/>
          </w:tcPr>
          <w:p>
            <w:pPr>
              <w:snapToGrid w:val="0"/>
              <w:spacing w:line="400" w:lineRule="exact"/>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金融类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7302</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89" w:type="dxa"/>
            <w:vAlign w:val="center"/>
          </w:tcPr>
          <w:p>
            <w:pPr>
              <w:spacing w:line="56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对应行业</w:t>
            </w:r>
          </w:p>
        </w:tc>
        <w:tc>
          <w:tcPr>
            <w:tcW w:w="6270" w:type="dxa"/>
            <w:vAlign w:val="center"/>
          </w:tcPr>
          <w:p>
            <w:pPr>
              <w:snapToGrid w:val="0"/>
              <w:spacing w:line="400" w:lineRule="exac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货币金融服务、资本市场服务、保险业、其他金融业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089" w:type="dxa"/>
            <w:vAlign w:val="center"/>
          </w:tcPr>
          <w:p>
            <w:pPr>
              <w:snapToGrid w:val="0"/>
              <w:spacing w:line="560" w:lineRule="exac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主要职业类别</w:t>
            </w:r>
          </w:p>
        </w:tc>
        <w:tc>
          <w:tcPr>
            <w:tcW w:w="6270"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银行服务人员（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4-05-01</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证券服务人员（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4-05-02</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保险服务人员（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4-05-04</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089" w:type="dxa"/>
            <w:vAlign w:val="center"/>
          </w:tcPr>
          <w:p>
            <w:pPr>
              <w:spacing w:line="400" w:lineRule="exac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主要岗位（群）</w:t>
            </w:r>
          </w:p>
        </w:tc>
        <w:tc>
          <w:tcPr>
            <w:tcW w:w="6270" w:type="dxa"/>
          </w:tcPr>
          <w:p>
            <w:pPr>
              <w:spacing w:line="400" w:lineRule="exact"/>
              <w:rPr>
                <w:rFonts w:ascii="仿宋" w:hAnsi="仿宋" w:eastAsia="仿宋" w:cs="仿宋"/>
                <w:bCs/>
                <w:color w:val="000000" w:themeColor="text1"/>
                <w:sz w:val="24"/>
                <w:szCs w:val="24"/>
                <w:lang w:eastAsia="zh-Hans"/>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金融柜面操作、金融大堂服务、金融产品营销、金融外包服务等岗位群。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089" w:type="dxa"/>
            <w:vAlign w:val="center"/>
          </w:tcPr>
          <w:p>
            <w:pPr>
              <w:spacing w:line="400" w:lineRule="exact"/>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职业资格证书或技能等级证书</w:t>
            </w:r>
          </w:p>
        </w:tc>
        <w:tc>
          <w:tcPr>
            <w:tcW w:w="6270" w:type="dxa"/>
            <w:vAlign w:val="center"/>
          </w:tcPr>
          <w:p>
            <w:pPr>
              <w:spacing w:line="400" w:lineRule="exact"/>
              <w:rPr>
                <w:rFonts w:ascii="仿宋" w:hAnsi="仿宋" w:eastAsia="仿宋" w:cs="仿宋"/>
                <w:bCs/>
                <w:color w:val="000000" w:themeColor="text1"/>
                <w:sz w:val="24"/>
                <w:szCs w:val="24"/>
                <w:lang w:eastAsia="zh-Hans"/>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银行业专业人员职业资格、金融产品数字营销、人身保险理赔、金融大数据处理、财务共享服务证书等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089" w:type="dxa"/>
            <w:vAlign w:val="center"/>
          </w:tcPr>
          <w:p>
            <w:pPr>
              <w:spacing w:line="560" w:lineRule="exact"/>
              <w:rPr>
                <w:rFonts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其他证书</w:t>
            </w:r>
          </w:p>
        </w:tc>
        <w:tc>
          <w:tcPr>
            <w:tcW w:w="6270" w:type="dxa"/>
            <w:vAlign w:val="center"/>
          </w:tcPr>
          <w:p>
            <w:pPr>
              <w:spacing w:line="4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全国计算机应用等级证书、普通话证书等</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五、培养目标 </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仿宋" w:hAnsi="仿宋" w:eastAsia="仿宋" w:cs="仿宋"/>
          <w:color w:val="000000"/>
          <w:kern w:val="0"/>
          <w:sz w:val="32"/>
          <w:szCs w:val="32"/>
          <w:lang w:bidi="ar"/>
        </w:rPr>
        <w:t>本专业培养德智体美劳全面发展，掌握扎实的科学文化基础和金融、经济、财务等知识及相关法律法规，具备金融单证规范书写、业务信息录入、现金清点整理、假伪币识别收缴、金融设备使用、金融服务礼仪、柜面业务处理、金融产品营销、金融风险防控等专业能力，具有工匠精神和信息素养，能够从事金融临柜、大堂服务、银行信贷、保险代理、保险理赔、保险营销、证券营销、小微信贷、电话服务、金融外包服务、金融科技服务等工作的技术技能人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bCs w:val="0"/>
          <w:color w:val="000000"/>
          <w:sz w:val="32"/>
          <w:szCs w:val="32"/>
          <w:lang w:eastAsia="zh-CN"/>
        </w:rPr>
      </w:pPr>
      <w:r>
        <w:rPr>
          <w:rFonts w:hint="eastAsia" w:ascii="黑体" w:hAnsi="宋体" w:eastAsia="黑体" w:cs="黑体"/>
          <w:color w:val="000000"/>
          <w:kern w:val="0"/>
          <w:sz w:val="32"/>
          <w:szCs w:val="32"/>
          <w:lang w:val="en-US" w:eastAsia="zh-CN" w:bidi="ar"/>
        </w:rPr>
        <w:t>六、培养规格</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lang w:val="en-US" w:eastAsia="zh-CN"/>
        </w:rPr>
        <w:t>一</w:t>
      </w: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rPr>
        <w:t>素质</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具有正确的世界观、人生观，践行社会主义核心价值观，树立中国特色社会主义共同理想；</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具有深厚的爱国情感、国家认同感、中华民族自豪感；</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具有自觉学法、懂法、守法意识</w:t>
      </w:r>
      <w:r>
        <w:rPr>
          <w:rFonts w:hint="eastAsia" w:ascii="仿宋" w:hAnsi="仿宋" w:eastAsia="仿宋" w:cs="仿宋"/>
          <w:sz w:val="32"/>
          <w:szCs w:val="32"/>
          <w:lang w:eastAsia="zh-CN"/>
        </w:rPr>
        <w:t>，</w:t>
      </w:r>
      <w:r>
        <w:rPr>
          <w:rFonts w:hint="eastAsia" w:ascii="仿宋" w:hAnsi="仿宋" w:eastAsia="仿宋" w:cs="仿宋"/>
          <w:sz w:val="32"/>
          <w:szCs w:val="32"/>
        </w:rPr>
        <w:t>能用法律维护国家、企业、个人的利益；</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具有精益求精的工匠精神；尊重劳动、热爱劳动，在</w:t>
      </w:r>
      <w:r>
        <w:rPr>
          <w:rFonts w:hint="eastAsia" w:ascii="仿宋" w:hAnsi="仿宋" w:eastAsia="仿宋" w:cs="仿宋"/>
          <w:sz w:val="32"/>
          <w:szCs w:val="32"/>
          <w:lang w:val="en-US" w:eastAsia="zh-CN"/>
        </w:rPr>
        <w:t>金融</w:t>
      </w:r>
      <w:r>
        <w:rPr>
          <w:rFonts w:hint="eastAsia" w:ascii="仿宋" w:hAnsi="仿宋" w:eastAsia="仿宋" w:cs="仿宋"/>
          <w:sz w:val="32"/>
          <w:szCs w:val="32"/>
        </w:rPr>
        <w:t>工作中，具有较强的实践能力；</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具有较强的集体意识和团队合作精神，在日常工作中能够进行有效的人际沟通和协作；</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具有良好的身心素质和人文素养，在学校的学习生活中，形成良好的生活习惯、行为习惯和自我管理能力。</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方正仿宋简体" w:hAnsi="方正仿宋简体" w:eastAsia="方正仿宋简体" w:cs="方正仿宋简体"/>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知识</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1.掌握</w:t>
      </w:r>
      <w:r>
        <w:rPr>
          <w:rFonts w:hint="eastAsia" w:ascii="仿宋" w:hAnsi="仿宋" w:eastAsia="仿宋" w:cs="仿宋"/>
          <w:sz w:val="32"/>
          <w:szCs w:val="32"/>
          <w:lang w:val="en-US" w:eastAsia="zh-Hans"/>
        </w:rPr>
        <w:t>金融基础知识</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会处理基础金融业务</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2.熟悉</w:t>
      </w:r>
      <w:r>
        <w:rPr>
          <w:rFonts w:hint="eastAsia" w:ascii="仿宋" w:hAnsi="仿宋" w:eastAsia="仿宋" w:cs="仿宋"/>
          <w:sz w:val="32"/>
          <w:szCs w:val="32"/>
          <w:lang w:val="en-US" w:eastAsia="zh-Hans"/>
        </w:rPr>
        <w:t>财经类基本政策与法规</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Hans"/>
        </w:rPr>
        <w:t>掌握营销基础知识，会推销金融产品；</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仿宋" w:hAnsi="仿宋" w:eastAsia="仿宋" w:cs="仿宋"/>
          <w:sz w:val="32"/>
          <w:szCs w:val="32"/>
          <w:lang w:val="en-US" w:eastAsia="zh-Hans"/>
        </w:rPr>
        <w:t>4</w:t>
      </w:r>
      <w:r>
        <w:rPr>
          <w:rFonts w:hint="eastAsia" w:ascii="仿宋" w:hAnsi="仿宋" w:eastAsia="仿宋" w:cs="仿宋"/>
          <w:sz w:val="32"/>
          <w:szCs w:val="32"/>
          <w:lang w:val="en-US" w:eastAsia="zh-CN"/>
        </w:rPr>
        <w:t>.具有Power point、Excel、Word等常用办公软件使用基本知识。</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能力</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1.具有熟练的业务信息录入、现金清点整理、假伪币识别收缴能力；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2.具有熟练的金融业务软件、金融专用设备使用和日常维护能力；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3.具有熟练的金融企业柜面日常业务和工作问题的处理能力；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4.具有较强的客服意识、规范的服务礼仪，具备基础的营销策划与实施能力；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5.具有基础的金融数据识别、建模、采集、处理和可视化展示能力；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6.具有较强的金融风险防控意识与规避能力。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黑体" w:eastAsia="黑体" w:cs="黑体"/>
          <w:sz w:val="32"/>
          <w:szCs w:val="32"/>
          <w:lang w:val="en-US" w:eastAsia="zh-CN"/>
        </w:rPr>
        <w:t>七、中职</w:t>
      </w:r>
      <w:r>
        <w:rPr>
          <w:rFonts w:hint="eastAsia" w:ascii="黑体" w:hAnsi="黑体" w:eastAsia="黑体" w:cs="黑体"/>
          <w:color w:val="000000" w:themeColor="text1"/>
          <w:sz w:val="32"/>
          <w:szCs w:val="32"/>
          <w14:textFill>
            <w14:solidFill>
              <w14:schemeClr w14:val="tx1"/>
            </w14:solidFill>
          </w14:textFill>
        </w:rPr>
        <w:t>课程设置及要求</w:t>
      </w:r>
    </w:p>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2" w:name="_Toc12132"/>
      <w:bookmarkStart w:id="3" w:name="_Toc8029"/>
      <w:r>
        <w:rPr>
          <w:rFonts w:hint="eastAsia" w:ascii="楷体" w:hAnsi="楷体" w:eastAsia="楷体" w:cs="楷体"/>
          <w:b/>
          <w:bCs/>
          <w:color w:val="000000" w:themeColor="text1"/>
          <w:sz w:val="32"/>
          <w:szCs w:val="32"/>
          <w14:textFill>
            <w14:solidFill>
              <w14:schemeClr w14:val="tx1"/>
            </w14:solidFill>
          </w14:textFill>
        </w:rPr>
        <w:t>（一）公共基础课程</w:t>
      </w:r>
      <w:bookmarkEnd w:id="2"/>
      <w:bookmarkEnd w:id="3"/>
    </w:p>
    <w:tbl>
      <w:tblPr>
        <w:tblStyle w:val="12"/>
        <w:tblW w:w="8559" w:type="dxa"/>
        <w:jc w:val="center"/>
        <w:tblLayout w:type="autofit"/>
        <w:tblCellMar>
          <w:top w:w="0" w:type="dxa"/>
          <w:left w:w="108" w:type="dxa"/>
          <w:bottom w:w="0" w:type="dxa"/>
          <w:right w:w="108" w:type="dxa"/>
        </w:tblCellMar>
      </w:tblPr>
      <w:tblGrid>
        <w:gridCol w:w="744"/>
        <w:gridCol w:w="1208"/>
        <w:gridCol w:w="6607"/>
      </w:tblGrid>
      <w:tr>
        <w:tblPrEx>
          <w:tblCellMar>
            <w:top w:w="0" w:type="dxa"/>
            <w:left w:w="108" w:type="dxa"/>
            <w:bottom w:w="0" w:type="dxa"/>
            <w:right w:w="108" w:type="dxa"/>
          </w:tblCellMar>
        </w:tblPrEx>
        <w:trPr>
          <w:trHeight w:val="421"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231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数学</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依据《中等职业学校数学课程标准(2020年版)》开设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w:t>
            </w:r>
            <w:r>
              <w:rPr>
                <w:rFonts w:hint="eastAsia" w:ascii="仿宋" w:hAnsi="仿宋" w:eastAsia="仿宋" w:cs="仿宋"/>
                <w:color w:val="000000"/>
                <w:kern w:val="0"/>
                <w:sz w:val="24"/>
                <w:szCs w:val="24"/>
                <w:lang w:val="en-US" w:eastAsia="zh-CN" w:bidi="ar"/>
              </w:rPr>
              <w:t>获得进一步学习和</w:t>
            </w:r>
            <w:r>
              <w:rPr>
                <w:rFonts w:hint="eastAsia" w:ascii="仿宋" w:hAnsi="仿宋" w:eastAsia="仿宋" w:cs="仿宋"/>
                <w:color w:val="000000"/>
                <w:kern w:val="0"/>
                <w:sz w:val="24"/>
                <w:szCs w:val="24"/>
                <w:lang w:bidi="ar"/>
              </w:rPr>
              <w:t>职业发展所必需的数学知识、数学技能、数学方法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数学思想和</w:t>
            </w:r>
            <w:r>
              <w:rPr>
                <w:rFonts w:hint="eastAsia" w:ascii="仿宋" w:hAnsi="仿宋" w:eastAsia="仿宋" w:cs="仿宋"/>
                <w:color w:val="000000"/>
                <w:kern w:val="0"/>
                <w:sz w:val="24"/>
                <w:szCs w:val="24"/>
                <w:lang w:val="en-US" w:eastAsia="zh-CN" w:bidi="ar"/>
              </w:rPr>
              <w:t>活动经验</w:t>
            </w:r>
            <w:r>
              <w:rPr>
                <w:rFonts w:hint="eastAsia" w:ascii="仿宋" w:hAnsi="仿宋" w:eastAsia="仿宋" w:cs="仿宋"/>
                <w:color w:val="000000"/>
                <w:kern w:val="0"/>
                <w:sz w:val="24"/>
                <w:szCs w:val="24"/>
                <w:lang w:bidi="ar"/>
              </w:rPr>
              <w:t>，具备中等职业教育数学学科核心素养，形成在继续学习和未来工作中运用数学知识和经验发现问题的意识、运用数学的思想方法和工具解决问题的能力。</w:t>
            </w:r>
          </w:p>
        </w:tc>
      </w:tr>
      <w:tr>
        <w:tblPrEx>
          <w:tblCellMar>
            <w:top w:w="0" w:type="dxa"/>
            <w:left w:w="108" w:type="dxa"/>
            <w:bottom w:w="0" w:type="dxa"/>
            <w:right w:w="108" w:type="dxa"/>
          </w:tblCellMar>
        </w:tblPrEx>
        <w:trPr>
          <w:trHeight w:val="189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语文</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依据《中等职业学校语文课程标准(2020年版)》开设。通过阅读与欣赏、表达与交流和语文综合实践等学习活动，使学生具有较强的语言文字运用能力和思维能力，能够传承中华民族优秀</w:t>
            </w:r>
            <w:r>
              <w:rPr>
                <w:rFonts w:hint="eastAsia" w:ascii="仿宋" w:hAnsi="仿宋" w:eastAsia="仿宋" w:cs="仿宋"/>
                <w:color w:val="000000"/>
                <w:kern w:val="0"/>
                <w:sz w:val="24"/>
                <w:szCs w:val="24"/>
                <w:lang w:val="en-US" w:eastAsia="zh-CN" w:bidi="ar"/>
              </w:rPr>
              <w:t>文化</w:t>
            </w:r>
            <w:r>
              <w:rPr>
                <w:rFonts w:hint="eastAsia" w:ascii="仿宋" w:hAnsi="仿宋" w:eastAsia="仿宋" w:cs="仿宋"/>
                <w:color w:val="000000"/>
                <w:kern w:val="0"/>
                <w:sz w:val="24"/>
                <w:szCs w:val="24"/>
                <w:lang w:bidi="ar"/>
              </w:rPr>
              <w:t>，吸收人类进步文化，提高人文素养，养成良好道德品质，成为全面发展的高素质技能技术人才</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668"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英语</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依据《中等职业学校语英语课程标准(2020年版)》开设。通过本课程学习，使学生掌握一定的英语基础知识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提高听、说、读、写等语言技能，</w:t>
            </w:r>
            <w:r>
              <w:rPr>
                <w:rFonts w:hint="eastAsia" w:ascii="仿宋" w:hAnsi="仿宋" w:eastAsia="仿宋" w:cs="仿宋"/>
                <w:color w:val="000000"/>
                <w:kern w:val="0"/>
                <w:sz w:val="24"/>
                <w:szCs w:val="24"/>
                <w:lang w:bidi="ar"/>
              </w:rPr>
              <w:t>培养学生在日常生活和职业场景中的英语应用能力</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发展英语学科核心素养，为</w:t>
            </w:r>
            <w:r>
              <w:rPr>
                <w:rFonts w:hint="eastAsia" w:ascii="仿宋" w:hAnsi="仿宋" w:eastAsia="仿宋" w:cs="仿宋"/>
                <w:color w:val="000000"/>
                <w:kern w:val="0"/>
                <w:sz w:val="24"/>
                <w:szCs w:val="24"/>
                <w:lang w:bidi="ar"/>
              </w:rPr>
              <w:t>学生的职业生涯、继续学习和终身发展莫定基础</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6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信息技术</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依据《中等职业学校信息技术课程标准(2020 年版)》开设。通过本课程学习，使学生掌握必备的计算机应用基础知识和基本技能，培养学生</w:t>
            </w:r>
            <w:r>
              <w:rPr>
                <w:rFonts w:hint="eastAsia" w:ascii="仿宋" w:hAnsi="仿宋" w:eastAsia="仿宋" w:cs="仿宋"/>
                <w:color w:val="000000"/>
                <w:kern w:val="0"/>
                <w:sz w:val="24"/>
                <w:szCs w:val="24"/>
                <w:lang w:val="en-US" w:eastAsia="zh-CN" w:bidi="ar"/>
              </w:rPr>
              <w:t>符合时代要求的信息素养和</w:t>
            </w:r>
            <w:r>
              <w:rPr>
                <w:rFonts w:hint="eastAsia" w:ascii="仿宋" w:hAnsi="仿宋" w:eastAsia="仿宋" w:cs="仿宋"/>
                <w:color w:val="000000"/>
                <w:w w:val="90"/>
                <w:kern w:val="0"/>
                <w:sz w:val="24"/>
                <w:szCs w:val="24"/>
                <w:lang w:val="en-US" w:eastAsia="zh-CN" w:bidi="ar"/>
              </w:rPr>
              <w:t>适应职业发展需要的信息能力。</w:t>
            </w:r>
          </w:p>
        </w:tc>
      </w:tr>
      <w:tr>
        <w:tblPrEx>
          <w:tblCellMar>
            <w:top w:w="0" w:type="dxa"/>
            <w:left w:w="108" w:type="dxa"/>
            <w:bottom w:w="0" w:type="dxa"/>
            <w:right w:w="108" w:type="dxa"/>
          </w:tblCellMar>
        </w:tblPrEx>
        <w:trPr>
          <w:trHeight w:val="307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中国特色社会主义</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理解中国特色社会主义理论体系的基本内容和科学方法，帮助学生正确理解这一理论体系基本理论观点，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努力奋斗。</w:t>
            </w:r>
          </w:p>
        </w:tc>
      </w:tr>
      <w:tr>
        <w:tblPrEx>
          <w:tblCellMar>
            <w:top w:w="0" w:type="dxa"/>
            <w:left w:w="108" w:type="dxa"/>
            <w:bottom w:w="0" w:type="dxa"/>
            <w:right w:w="108" w:type="dxa"/>
          </w:tblCellMar>
        </w:tblPrEx>
        <w:trPr>
          <w:trHeight w:val="28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心理健康与职业生涯</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心理健康的基本知识、方法和意识的教育，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条件。</w:t>
            </w:r>
          </w:p>
        </w:tc>
      </w:tr>
      <w:tr>
        <w:tblPrEx>
          <w:tblCellMar>
            <w:top w:w="0" w:type="dxa"/>
            <w:left w:w="108" w:type="dxa"/>
            <w:bottom w:w="0" w:type="dxa"/>
            <w:right w:w="108" w:type="dxa"/>
          </w:tblCellMar>
        </w:tblPrEx>
        <w:trPr>
          <w:trHeight w:val="242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哲学与人生</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马克思主义哲学基本观点和方法，帮助学生学习运用辩证唯物主义和历史唯物主义的观点和方法，正确看待自然、社会的发展，正确认识和处理人生发展中的基本问题，树立和追求崇高理想，逐步形成正确的世界观、人生观和价值观。</w:t>
            </w:r>
          </w:p>
        </w:tc>
      </w:tr>
      <w:tr>
        <w:tblPrEx>
          <w:tblCellMar>
            <w:top w:w="0" w:type="dxa"/>
            <w:left w:w="108" w:type="dxa"/>
            <w:bottom w:w="0" w:type="dxa"/>
            <w:right w:w="108" w:type="dxa"/>
          </w:tblCellMar>
        </w:tblPrEx>
        <w:trPr>
          <w:trHeight w:val="16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职业道德与法治</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(2020年版)》开设。通过本课程学习，使学生掌握职业道德的作用和基本规范，增强职业道德和法治意识，养成爱岗敬业、依法办事的思维方式和行为习惯</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成为懂法、守法、用法的公民。</w:t>
            </w:r>
          </w:p>
        </w:tc>
      </w:tr>
      <w:tr>
        <w:tblPrEx>
          <w:tblCellMar>
            <w:top w:w="0" w:type="dxa"/>
            <w:left w:w="108" w:type="dxa"/>
            <w:bottom w:w="0" w:type="dxa"/>
            <w:right w:w="108" w:type="dxa"/>
          </w:tblCellMar>
        </w:tblPrEx>
        <w:trPr>
          <w:trHeight w:val="209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体育与健康</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体育与健康课程标准(2020年版)》开设。通过本课程学习，使学生掌握体育基本理论知识、技术、技能和科学锻炼身体的方法，培养自主锻炼、自我保健、自我评价和自我调控的意识,全面提高身心素质和社会适应能力，为终身锻炼、继续学习与创业立业奠定基础。</w:t>
            </w:r>
          </w:p>
        </w:tc>
      </w:tr>
      <w:tr>
        <w:tblPrEx>
          <w:tblCellMar>
            <w:top w:w="0" w:type="dxa"/>
            <w:left w:w="108" w:type="dxa"/>
            <w:bottom w:w="0" w:type="dxa"/>
            <w:right w:w="108" w:type="dxa"/>
          </w:tblCellMar>
        </w:tblPrEx>
        <w:trPr>
          <w:trHeight w:val="20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yellow"/>
              </w:rPr>
            </w:pPr>
            <w:r>
              <w:rPr>
                <w:rFonts w:hint="eastAsia" w:ascii="仿宋" w:hAnsi="仿宋" w:eastAsia="仿宋" w:cs="仿宋"/>
                <w:color w:val="000000"/>
                <w:kern w:val="0"/>
                <w:sz w:val="24"/>
                <w:szCs w:val="24"/>
                <w:highlight w:val="none"/>
                <w:lang w:bidi="ar"/>
              </w:rPr>
              <w:t>历史</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依据《中等职业学校历史课程标准(2020 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通过本课程学习，使学生了解人类社会发展的基本脉络和优秀文化传统，从历史的角度了解和思考人与人</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人与社会、人与自然的关系，增强历史使命感和社会责任感;培育社会主义核心价值观，进一步弘扬以爱国主义为核心的民族精神和以改革创新为核心的时代精神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培养健全的人格，树立正确的历史观、人生观和价值观，为中等职业学校学生未来的学习、工作和生活打下基础。</w:t>
            </w:r>
          </w:p>
        </w:tc>
      </w:tr>
      <w:tr>
        <w:tblPrEx>
          <w:tblCellMar>
            <w:top w:w="0" w:type="dxa"/>
            <w:left w:w="108" w:type="dxa"/>
            <w:bottom w:w="0" w:type="dxa"/>
            <w:right w:w="108" w:type="dxa"/>
          </w:tblCellMar>
        </w:tblPrEx>
        <w:trPr>
          <w:trHeight w:val="16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音乐欣赏</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学生通过聆听中外经典音乐作品，参与音乐鉴赏与实践活动，认识音乐的基本功能与作用，获得精神愉悦，提高审美情趣和音乐实践能力。</w:t>
            </w:r>
          </w:p>
        </w:tc>
      </w:tr>
      <w:tr>
        <w:tblPrEx>
          <w:tblCellMar>
            <w:top w:w="0" w:type="dxa"/>
            <w:left w:w="108" w:type="dxa"/>
            <w:bottom w:w="0" w:type="dxa"/>
            <w:right w:w="108" w:type="dxa"/>
          </w:tblCellMar>
        </w:tblPrEx>
        <w:trPr>
          <w:trHeight w:val="1703"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美术欣赏</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学生通过观察、体验、赏析、评判等活动，学习美术知识和技能，欣赏美术作品，了解作品主题，感悟作品情感，理解作品内涵，认识美术的基本功能与作用，提高审美情趣和美术实践能力。</w:t>
            </w:r>
          </w:p>
        </w:tc>
      </w:tr>
      <w:tr>
        <w:tblPrEx>
          <w:tblCellMar>
            <w:top w:w="0" w:type="dxa"/>
            <w:left w:w="108" w:type="dxa"/>
            <w:bottom w:w="0" w:type="dxa"/>
            <w:right w:w="108" w:type="dxa"/>
          </w:tblCellMar>
        </w:tblPrEx>
        <w:trPr>
          <w:trHeight w:val="745"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书法</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通过本课程学习，使学生了解汉字的结构规律，养成良好的书写习惯,写得一手好字。</w:t>
            </w:r>
          </w:p>
        </w:tc>
      </w:tr>
      <w:tr>
        <w:tblPrEx>
          <w:tblCellMar>
            <w:top w:w="0" w:type="dxa"/>
            <w:left w:w="108" w:type="dxa"/>
            <w:bottom w:w="0" w:type="dxa"/>
            <w:right w:w="108" w:type="dxa"/>
          </w:tblCellMar>
        </w:tblPrEx>
        <w:trPr>
          <w:trHeight w:val="120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礼乐修身</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通过本课程学习，使学生掌握中外礼仪基本概况及礼仪的核心精神，使学生成为有教养、有修养、有素养、有涵养的合格职业人。</w:t>
            </w:r>
          </w:p>
        </w:tc>
      </w:tr>
      <w:tr>
        <w:tblPrEx>
          <w:tblCellMar>
            <w:top w:w="0" w:type="dxa"/>
            <w:left w:w="108" w:type="dxa"/>
            <w:bottom w:w="0" w:type="dxa"/>
            <w:right w:w="108" w:type="dxa"/>
          </w:tblCellMar>
        </w:tblPrEx>
        <w:trPr>
          <w:trHeight w:val="1619"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劳动教育</w:t>
            </w:r>
          </w:p>
        </w:tc>
        <w:tc>
          <w:tcPr>
            <w:tcW w:w="6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劳动教育以实习实训课为主要载体开展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通过劳动精神、劳模精神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工匠精神</w:t>
            </w:r>
            <w:r>
              <w:rPr>
                <w:rFonts w:hint="eastAsia" w:ascii="仿宋" w:hAnsi="仿宋" w:eastAsia="仿宋" w:cs="仿宋"/>
                <w:color w:val="000000"/>
                <w:kern w:val="0"/>
                <w:sz w:val="24"/>
                <w:szCs w:val="24"/>
                <w:lang w:val="en-US" w:eastAsia="zh-CN" w:bidi="ar"/>
              </w:rPr>
              <w:t>等</w:t>
            </w:r>
            <w:r>
              <w:rPr>
                <w:rFonts w:hint="eastAsia" w:ascii="仿宋" w:hAnsi="仿宋" w:eastAsia="仿宋" w:cs="仿宋"/>
                <w:color w:val="000000"/>
                <w:kern w:val="0"/>
                <w:sz w:val="24"/>
                <w:szCs w:val="24"/>
                <w:lang w:bidi="ar"/>
              </w:rPr>
              <w:t>专题教育学习，使学生</w:t>
            </w:r>
            <w:r>
              <w:rPr>
                <w:rFonts w:hint="eastAsia" w:ascii="仿宋" w:hAnsi="仿宋" w:eastAsia="仿宋" w:cs="仿宋"/>
                <w:i w:val="0"/>
                <w:iCs w:val="0"/>
                <w:color w:val="000000"/>
                <w:kern w:val="0"/>
                <w:sz w:val="24"/>
                <w:szCs w:val="24"/>
                <w:u w:val="none"/>
                <w:lang w:val="en-US" w:eastAsia="zh-CN" w:bidi="ar"/>
              </w:rPr>
              <w:t>在劳动中接受锻炼、磨炼意志，懂得劳动创造美好生活的道理，并培养良好的劳动品质。</w:t>
            </w:r>
          </w:p>
        </w:tc>
      </w:tr>
    </w:tbl>
    <w:p>
      <w:pPr>
        <w:numPr>
          <w:ilvl w:val="0"/>
          <w:numId w:val="1"/>
        </w:numPr>
        <w:spacing w:line="560" w:lineRule="exact"/>
        <w:ind w:firstLine="643" w:firstLineChars="200"/>
        <w:jc w:val="left"/>
        <w:outlineLvl w:val="1"/>
        <w:rPr>
          <w:rFonts w:ascii="楷体" w:hAnsi="楷体" w:eastAsia="楷体" w:cs="楷体"/>
          <w:b/>
          <w:bCs/>
          <w:color w:val="000000" w:themeColor="text1"/>
          <w:sz w:val="32"/>
          <w:szCs w:val="32"/>
          <w14:textFill>
            <w14:solidFill>
              <w14:schemeClr w14:val="tx1"/>
            </w14:solidFill>
          </w14:textFill>
        </w:rPr>
      </w:pPr>
      <w:bookmarkStart w:id="4" w:name="_Toc28304"/>
      <w:bookmarkStart w:id="5" w:name="_Toc20494"/>
      <w:r>
        <w:rPr>
          <w:rFonts w:hint="eastAsia" w:ascii="楷体" w:hAnsi="楷体" w:eastAsia="楷体" w:cs="楷体"/>
          <w:b/>
          <w:bCs/>
          <w:color w:val="000000" w:themeColor="text1"/>
          <w:sz w:val="32"/>
          <w:szCs w:val="32"/>
          <w14:textFill>
            <w14:solidFill>
              <w14:schemeClr w14:val="tx1"/>
            </w14:solidFill>
          </w14:textFill>
        </w:rPr>
        <w:t>专业（技能）课程</w:t>
      </w:r>
      <w:bookmarkEnd w:id="4"/>
      <w:bookmarkEnd w:id="5"/>
    </w:p>
    <w:p>
      <w:pPr>
        <w:spacing w:line="560" w:lineRule="exact"/>
        <w:ind w:firstLine="643" w:firstLineChars="200"/>
        <w:jc w:val="left"/>
        <w:outlineLvl w:val="2"/>
        <w:rPr>
          <w:rFonts w:hint="eastAsia" w:ascii="仿宋" w:hAnsi="仿宋" w:eastAsia="仿宋" w:cs="仿宋"/>
          <w:b/>
          <w:bCs/>
          <w:color w:val="000000" w:themeColor="text1"/>
          <w:sz w:val="32"/>
          <w:szCs w:val="32"/>
          <w14:textFill>
            <w14:solidFill>
              <w14:schemeClr w14:val="tx1"/>
            </w14:solidFill>
          </w14:textFill>
        </w:rPr>
      </w:pPr>
      <w:bookmarkStart w:id="6" w:name="_Toc26998"/>
      <w:bookmarkStart w:id="7" w:name="_Toc22718"/>
      <w:r>
        <w:rPr>
          <w:rFonts w:hint="eastAsia" w:ascii="仿宋" w:hAnsi="仿宋" w:eastAsia="仿宋" w:cs="仿宋"/>
          <w:b/>
          <w:bCs/>
          <w:color w:val="000000" w:themeColor="text1"/>
          <w:sz w:val="32"/>
          <w:szCs w:val="32"/>
          <w14:textFill>
            <w14:solidFill>
              <w14:schemeClr w14:val="tx1"/>
            </w14:solidFill>
          </w14:textFill>
        </w:rPr>
        <w:t>1.专业理论课程</w:t>
      </w:r>
      <w:bookmarkEnd w:id="6"/>
      <w:bookmarkEnd w:id="7"/>
    </w:p>
    <w:tbl>
      <w:tblPr>
        <w:tblStyle w:val="12"/>
        <w:tblW w:w="8638" w:type="dxa"/>
        <w:jc w:val="center"/>
        <w:tblLayout w:type="autofit"/>
        <w:tblCellMar>
          <w:top w:w="0" w:type="dxa"/>
          <w:left w:w="108" w:type="dxa"/>
          <w:bottom w:w="0" w:type="dxa"/>
          <w:right w:w="108" w:type="dxa"/>
        </w:tblCellMar>
      </w:tblPr>
      <w:tblGrid>
        <w:gridCol w:w="886"/>
        <w:gridCol w:w="2152"/>
        <w:gridCol w:w="5600"/>
      </w:tblGrid>
      <w:tr>
        <w:tblPrEx>
          <w:tblCellMar>
            <w:top w:w="0" w:type="dxa"/>
            <w:left w:w="108" w:type="dxa"/>
            <w:bottom w:w="0" w:type="dxa"/>
            <w:right w:w="108" w:type="dxa"/>
          </w:tblCellMar>
        </w:tblPrEx>
        <w:trPr>
          <w:trHeight w:val="44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2388"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会计基础</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lang w:bidi="ar"/>
              </w:rPr>
              <w:t>掌握会计的职能、特点、对象及会计核算基本前提等基本理论。掌握会计要素、会计等式、会计科目和借贷记账法等基本知识。能够填制会计凭证、登记会计账簿、编制会计报表。使学生具备学习后续专业课程的专业基础能力，同时注重培养学生的会计基本职业素养。</w:t>
            </w:r>
          </w:p>
        </w:tc>
      </w:tr>
      <w:tr>
        <w:tblPrEx>
          <w:tblCellMar>
            <w:top w:w="0" w:type="dxa"/>
            <w:left w:w="108" w:type="dxa"/>
            <w:bottom w:w="0" w:type="dxa"/>
            <w:right w:w="108" w:type="dxa"/>
          </w:tblCellMar>
        </w:tblPrEx>
        <w:trPr>
          <w:trHeight w:val="3988"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经济法基础</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lang w:val="en-US" w:eastAsia="zh-CN" w:bidi="ar"/>
              </w:rPr>
              <w:t xml:space="preserve">课程主要内容包括：法律基础与责任；会计法律制度、支付结算法律制度、税收法律制度、税收征管法律制度和劳动合同与社会保险法律制度的相关概念和知识；增值税、消费税、城建税和教育费附加、企业所得税和个人所得税的相关计算与征收等。通过课程的学习，知道相关经济法律制度的概念及法律制度规定，知法，懂法；会运用所学的法律制度进行相关案例分析；会根据运用相关计算公式进行税费计算； 会区分不同的支付结算方式并运用于实训及工作；为初级会计师考证奠定基础。 </w:t>
            </w:r>
          </w:p>
        </w:tc>
      </w:tr>
      <w:tr>
        <w:tblPrEx>
          <w:tblCellMar>
            <w:top w:w="0" w:type="dxa"/>
            <w:left w:w="108" w:type="dxa"/>
            <w:bottom w:w="0" w:type="dxa"/>
            <w:right w:w="108" w:type="dxa"/>
          </w:tblCellMar>
        </w:tblPrEx>
        <w:trPr>
          <w:trHeight w:val="363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企业财务会计</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 xml:space="preserve">课程主要内容包括：核算资金筹集业务；核算出纳业务；核算采购与应付业务；核算销售与应收业务；核算固定资产和无形资产业务；核算职工薪筹业 </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lang w:val="en-US" w:eastAsia="zh-CN" w:bidi="ar"/>
              </w:rPr>
              <w:t>务；核算与控制期间费用；核算财务成果；编制会计报表。通过课程的学习，能进行筹资、采购与应付、销售与应收、固定资产增减和折旧、无形资产增减和摊销、薪酬计算、现金日常盘点、报销、费用、利润及利润分配等业务的账务处理；会编制资产负债表和利润表。</w:t>
            </w:r>
          </w:p>
        </w:tc>
      </w:tr>
      <w:tr>
        <w:tblPrEx>
          <w:tblCellMar>
            <w:top w:w="0" w:type="dxa"/>
            <w:left w:w="108" w:type="dxa"/>
            <w:bottom w:w="0" w:type="dxa"/>
            <w:right w:w="108" w:type="dxa"/>
          </w:tblCellMar>
        </w:tblPrEx>
        <w:trPr>
          <w:trHeight w:val="5072"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4</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金融</w:t>
            </w:r>
            <w:r>
              <w:rPr>
                <w:rFonts w:hint="eastAsia" w:ascii="仿宋" w:hAnsi="仿宋" w:eastAsia="仿宋" w:cs="仿宋"/>
                <w:color w:val="000000"/>
                <w:kern w:val="0"/>
                <w:sz w:val="24"/>
                <w:szCs w:val="24"/>
                <w:highlight w:val="none"/>
                <w:lang w:val="en-US" w:eastAsia="zh-CN" w:bidi="ar"/>
              </w:rPr>
              <w:t>基础</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的主要内容包括:货币、信用和银行的基本理论和基础知识；金融市场的发展及运作；金融机构体系基本理论；商业银行和中央银行的性质、职能和基本业务活动；其他金融机构基本业务；中央银行货币政策的内容及宏观调控的过程；通货膨胀与通货紧缩基本理论；金融监管基本理论等。通过课程的学习，学生能掌握货币、信用、金融市场、金融机构及体系、银行等金融专业基础知识，为今后继续学习证券基础、保险基础、银行柜面业务等金融事务专业课程打下坚实的专业基础。培养学生的敬业精神、团队精神、求索精神，使其具有良好的人际沟通能力和职业道德品格，为上岗就业成为一名优秀的金融专业人才奠定良好的理论和实践基础。 </w:t>
            </w:r>
          </w:p>
        </w:tc>
      </w:tr>
      <w:tr>
        <w:tblPrEx>
          <w:tblCellMar>
            <w:top w:w="0" w:type="dxa"/>
            <w:left w:w="108" w:type="dxa"/>
            <w:bottom w:w="0" w:type="dxa"/>
            <w:right w:w="108" w:type="dxa"/>
          </w:tblCellMar>
        </w:tblPrEx>
        <w:trPr>
          <w:trHeight w:val="78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5</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保险</w:t>
            </w:r>
            <w:r>
              <w:rPr>
                <w:rFonts w:hint="eastAsia" w:ascii="仿宋" w:hAnsi="仿宋" w:eastAsia="仿宋" w:cs="仿宋"/>
                <w:color w:val="000000"/>
                <w:kern w:val="0"/>
                <w:sz w:val="24"/>
                <w:szCs w:val="24"/>
                <w:highlight w:val="none"/>
                <w:lang w:val="en-US" w:eastAsia="zh-CN" w:bidi="ar"/>
              </w:rPr>
              <w:t>基础</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从发现保险、认识保险、学习保险、从事保险和遵守保险五大项目角度出发，使学生初步认知保险。</w:t>
            </w:r>
          </w:p>
        </w:tc>
      </w:tr>
      <w:tr>
        <w:tblPrEx>
          <w:tblCellMar>
            <w:top w:w="0" w:type="dxa"/>
            <w:left w:w="108" w:type="dxa"/>
            <w:bottom w:w="0" w:type="dxa"/>
            <w:right w:w="108" w:type="dxa"/>
          </w:tblCellMar>
        </w:tblPrEx>
        <w:trPr>
          <w:trHeight w:val="107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证券基础</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了解证券市场的概况及基本构成框架，掌握证券市场种类、交易规则，熟悉证券发行与上市交易的条件与程序。理解证券市场监管及相关法律基础知识。</w:t>
            </w:r>
          </w:p>
        </w:tc>
      </w:tr>
      <w:tr>
        <w:tblPrEx>
          <w:tblCellMar>
            <w:top w:w="0" w:type="dxa"/>
            <w:left w:w="108" w:type="dxa"/>
            <w:bottom w:w="0" w:type="dxa"/>
            <w:right w:w="108" w:type="dxa"/>
          </w:tblCellMar>
        </w:tblPrEx>
        <w:trPr>
          <w:trHeight w:val="784"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7</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个人投资理财</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了解不同种类的个人投资理财方式，学习如何通过不同理财渠道做到可用资金的利益最大化。</w:t>
            </w:r>
          </w:p>
        </w:tc>
      </w:tr>
      <w:tr>
        <w:tblPrEx>
          <w:tblCellMar>
            <w:top w:w="0" w:type="dxa"/>
            <w:left w:w="108" w:type="dxa"/>
            <w:bottom w:w="0" w:type="dxa"/>
            <w:right w:w="108" w:type="dxa"/>
          </w:tblCellMar>
        </w:tblPrEx>
        <w:trPr>
          <w:trHeight w:val="1137"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8</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金融</w:t>
            </w:r>
            <w:r>
              <w:rPr>
                <w:rFonts w:hint="eastAsia" w:ascii="仿宋" w:hAnsi="仿宋" w:eastAsia="仿宋" w:cs="仿宋"/>
                <w:color w:val="000000"/>
                <w:kern w:val="0"/>
                <w:sz w:val="24"/>
                <w:szCs w:val="24"/>
                <w:highlight w:val="none"/>
                <w:lang w:val="en-US" w:eastAsia="zh-CN" w:bidi="ar"/>
              </w:rPr>
              <w:t>产品</w:t>
            </w:r>
            <w:r>
              <w:rPr>
                <w:rFonts w:hint="eastAsia" w:ascii="仿宋" w:hAnsi="仿宋" w:eastAsia="仿宋" w:cs="仿宋"/>
                <w:color w:val="000000"/>
                <w:kern w:val="0"/>
                <w:sz w:val="24"/>
                <w:szCs w:val="24"/>
                <w:highlight w:val="none"/>
                <w:lang w:bidi="ar"/>
              </w:rPr>
              <w:t>营销</w:t>
            </w:r>
          </w:p>
        </w:tc>
        <w:tc>
          <w:tcPr>
            <w:tcW w:w="5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按照金融营销工作的基本流程，了解金融营销准备、金融营销策划、金融营销实施和金融客户维护等内容。</w:t>
            </w:r>
          </w:p>
        </w:tc>
      </w:tr>
    </w:tbl>
    <w:p>
      <w:pPr>
        <w:spacing w:line="560" w:lineRule="exact"/>
        <w:ind w:firstLine="643" w:firstLineChars="200"/>
        <w:jc w:val="left"/>
        <w:outlineLvl w:val="2"/>
        <w:rPr>
          <w:rFonts w:hint="eastAsia" w:ascii="仿宋" w:hAnsi="仿宋" w:eastAsia="仿宋" w:cs="仿宋"/>
          <w:b/>
          <w:bCs/>
          <w:color w:val="000000" w:themeColor="text1"/>
          <w:sz w:val="32"/>
          <w:szCs w:val="32"/>
          <w:lang w:eastAsia="zh-CN"/>
          <w14:textFill>
            <w14:solidFill>
              <w14:schemeClr w14:val="tx1"/>
            </w14:solidFill>
          </w14:textFill>
        </w:rPr>
      </w:pPr>
      <w:bookmarkStart w:id="8" w:name="_Toc18265"/>
      <w:bookmarkStart w:id="9" w:name="_Toc18550"/>
      <w:r>
        <w:rPr>
          <w:rFonts w:hint="eastAsia" w:ascii="仿宋" w:hAnsi="仿宋" w:eastAsia="仿宋" w:cs="仿宋"/>
          <w:b/>
          <w:bCs/>
          <w:color w:val="000000" w:themeColor="text1"/>
          <w:sz w:val="32"/>
          <w:szCs w:val="32"/>
          <w14:textFill>
            <w14:solidFill>
              <w14:schemeClr w14:val="tx1"/>
            </w14:solidFill>
          </w14:textFill>
        </w:rPr>
        <w:t>2.专业实训课程</w:t>
      </w:r>
      <w:bookmarkEnd w:id="8"/>
      <w:bookmarkEnd w:id="9"/>
    </w:p>
    <w:tbl>
      <w:tblPr>
        <w:tblStyle w:val="12"/>
        <w:tblW w:w="8638" w:type="dxa"/>
        <w:jc w:val="center"/>
        <w:tblLayout w:type="fixed"/>
        <w:tblCellMar>
          <w:top w:w="0" w:type="dxa"/>
          <w:left w:w="108" w:type="dxa"/>
          <w:bottom w:w="0" w:type="dxa"/>
          <w:right w:w="108" w:type="dxa"/>
        </w:tblCellMar>
      </w:tblPr>
      <w:tblGrid>
        <w:gridCol w:w="719"/>
        <w:gridCol w:w="2106"/>
        <w:gridCol w:w="5813"/>
      </w:tblGrid>
      <w:tr>
        <w:tblPrEx>
          <w:tblCellMar>
            <w:top w:w="0" w:type="dxa"/>
            <w:left w:w="108" w:type="dxa"/>
            <w:bottom w:w="0" w:type="dxa"/>
            <w:right w:w="108" w:type="dxa"/>
          </w:tblCellMar>
        </w:tblPrEx>
        <w:trPr>
          <w:trHeight w:val="36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bookmarkStart w:id="10" w:name="_Toc5814"/>
            <w:bookmarkStart w:id="11" w:name="_Toc4491"/>
            <w:r>
              <w:rPr>
                <w:rFonts w:hint="eastAsia" w:ascii="仿宋" w:hAnsi="仿宋" w:eastAsia="仿宋" w:cs="仿宋"/>
                <w:b/>
                <w:bCs/>
                <w:color w:val="000000"/>
                <w:kern w:val="0"/>
                <w:sz w:val="24"/>
                <w:szCs w:val="24"/>
                <w:highlight w:val="none"/>
                <w:lang w:bidi="ar"/>
              </w:rPr>
              <w:t>序号</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课程名称</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主要内容和教学要求</w:t>
            </w:r>
          </w:p>
        </w:tc>
      </w:tr>
      <w:tr>
        <w:tblPrEx>
          <w:tblCellMar>
            <w:top w:w="0" w:type="dxa"/>
            <w:left w:w="108" w:type="dxa"/>
            <w:bottom w:w="0" w:type="dxa"/>
            <w:right w:w="108" w:type="dxa"/>
          </w:tblCellMar>
        </w:tblPrEx>
        <w:trPr>
          <w:trHeight w:val="175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技能</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加强会计数字书写技能、点钞技能、电子计算工具应用等</w:t>
            </w: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基本技能和专业基础知识的学习，提高学生的基本专业素质，培差学生精益求精的工匠精神和吃苦耐劳的劳动精神，为学生从事</w:t>
            </w: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相关工作莫定基础</w:t>
            </w:r>
            <w:r>
              <w:rPr>
                <w:rFonts w:hint="eastAsia" w:ascii="仿宋" w:hAnsi="仿宋" w:eastAsia="仿宋" w:cs="仿宋"/>
                <w:color w:val="000000"/>
                <w:kern w:val="0"/>
                <w:sz w:val="24"/>
                <w:szCs w:val="24"/>
                <w:highlight w:val="none"/>
                <w:lang w:eastAsia="zh-CN" w:bidi="ar"/>
              </w:rPr>
              <w:t>。</w:t>
            </w:r>
          </w:p>
        </w:tc>
      </w:tr>
      <w:tr>
        <w:tblPrEx>
          <w:tblCellMar>
            <w:top w:w="0" w:type="dxa"/>
            <w:left w:w="108" w:type="dxa"/>
            <w:bottom w:w="0" w:type="dxa"/>
            <w:right w:w="108" w:type="dxa"/>
          </w:tblCellMar>
        </w:tblPrEx>
        <w:trPr>
          <w:trHeight w:val="105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会计信息化</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借助软件平台，实施会计账套管理初始工作；能熟练运用总账、报表、工资、固定资产等基本功能模块核算企业日常经济业务。</w:t>
            </w:r>
          </w:p>
        </w:tc>
      </w:tr>
      <w:tr>
        <w:tblPrEx>
          <w:tblCellMar>
            <w:top w:w="0" w:type="dxa"/>
            <w:left w:w="108" w:type="dxa"/>
            <w:bottom w:w="0" w:type="dxa"/>
            <w:right w:w="108" w:type="dxa"/>
          </w:tblCellMar>
        </w:tblPrEx>
        <w:trPr>
          <w:trHeight w:val="73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3</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税费计算与智能申报</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借助</w:t>
            </w:r>
            <w:r>
              <w:rPr>
                <w:rFonts w:hint="eastAsia" w:ascii="仿宋" w:hAnsi="仿宋" w:eastAsia="仿宋" w:cs="仿宋"/>
                <w:color w:val="000000"/>
                <w:kern w:val="0"/>
                <w:sz w:val="24"/>
                <w:szCs w:val="24"/>
                <w:highlight w:val="none"/>
                <w:lang w:val="en-US" w:eastAsia="zh-CN" w:bidi="ar"/>
              </w:rPr>
              <w:t>实训</w:t>
            </w:r>
            <w:r>
              <w:rPr>
                <w:rFonts w:hint="eastAsia" w:ascii="仿宋" w:hAnsi="仿宋" w:eastAsia="仿宋" w:cs="仿宋"/>
                <w:color w:val="000000"/>
                <w:kern w:val="0"/>
                <w:sz w:val="24"/>
                <w:szCs w:val="24"/>
                <w:highlight w:val="none"/>
                <w:lang w:bidi="ar"/>
              </w:rPr>
              <w:t>平台，办理增值税、个人所得税、企业所得税、城市维护建设税等税种的计算、</w:t>
            </w:r>
            <w:r>
              <w:rPr>
                <w:rFonts w:hint="eastAsia" w:ascii="仿宋" w:hAnsi="仿宋" w:eastAsia="仿宋" w:cs="仿宋"/>
                <w:color w:val="000000"/>
                <w:kern w:val="0"/>
                <w:sz w:val="24"/>
                <w:szCs w:val="24"/>
                <w:highlight w:val="none"/>
                <w:lang w:val="en-US" w:eastAsia="zh-CN" w:bidi="ar"/>
              </w:rPr>
              <w:t>智能</w:t>
            </w:r>
            <w:r>
              <w:rPr>
                <w:rFonts w:hint="eastAsia" w:ascii="仿宋" w:hAnsi="仿宋" w:eastAsia="仿宋" w:cs="仿宋"/>
                <w:color w:val="000000"/>
                <w:kern w:val="0"/>
                <w:sz w:val="24"/>
                <w:szCs w:val="24"/>
                <w:highlight w:val="none"/>
                <w:lang w:bidi="ar"/>
              </w:rPr>
              <w:t>申报和缴纳。</w:t>
            </w:r>
          </w:p>
        </w:tc>
      </w:tr>
      <w:tr>
        <w:tblPrEx>
          <w:tblCellMar>
            <w:top w:w="0" w:type="dxa"/>
            <w:left w:w="108" w:type="dxa"/>
            <w:bottom w:w="0" w:type="dxa"/>
            <w:right w:w="108" w:type="dxa"/>
          </w:tblCellMar>
        </w:tblPrEx>
        <w:trPr>
          <w:trHeight w:val="314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金融大数据处理</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 xml:space="preserve">课程的主要内容包括：金融大数据概念及来源、金融数据采集、金融数据清洗办法及整理、客户数据库搭建与存储、客户价值分析、投资和融资数据分析、投资现金流和杠杆系数测算、金融数据决策、金融产品推荐、可视化分析报告编制。通过课程学习，使学生能够获取金融数据源，采集保险证券等行业数据；通过清洗与整理，搭建存储规范金融数据库；进行数据分析与挖掘，掌握金融数据分析方法；制作可视化分析图表，创建智能化金融数据分析报告。 </w:t>
            </w:r>
          </w:p>
        </w:tc>
      </w:tr>
      <w:tr>
        <w:tblPrEx>
          <w:tblCellMar>
            <w:top w:w="0" w:type="dxa"/>
            <w:left w:w="108" w:type="dxa"/>
            <w:bottom w:w="0" w:type="dxa"/>
            <w:right w:w="108" w:type="dxa"/>
          </w:tblCellMar>
        </w:tblPrEx>
        <w:trPr>
          <w:trHeight w:val="165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业财税</w:t>
            </w:r>
            <w:r>
              <w:rPr>
                <w:rFonts w:hint="eastAsia" w:ascii="仿宋" w:hAnsi="仿宋" w:eastAsia="仿宋" w:cs="仿宋"/>
                <w:color w:val="000000"/>
                <w:kern w:val="0"/>
                <w:sz w:val="24"/>
                <w:szCs w:val="24"/>
                <w:highlight w:val="none"/>
                <w:lang w:bidi="ar"/>
              </w:rPr>
              <w:t>综合实训</w:t>
            </w:r>
          </w:p>
        </w:tc>
        <w:tc>
          <w:tcPr>
            <w:tcW w:w="5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平台将业务、账务、税务融合成一个整体,以经济业务发生为主线，将财务各项工作结合起来，实现流程串联、数据共联、逻辑通联、操作互联,多元化培养学生财税相关技能。</w:t>
            </w:r>
          </w:p>
        </w:tc>
      </w:tr>
    </w:tbl>
    <w:p>
      <w:pPr>
        <w:spacing w:line="560" w:lineRule="exact"/>
        <w:ind w:firstLine="643" w:firstLineChars="200"/>
        <w:jc w:val="left"/>
        <w:outlineLvl w:val="2"/>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3.专业拓展课程</w:t>
      </w:r>
      <w:bookmarkEnd w:id="10"/>
      <w:bookmarkEnd w:id="1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140"/>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1" w:type="dxa"/>
            <w:vAlign w:val="center"/>
          </w:tcPr>
          <w:p>
            <w:pPr>
              <w:widowControl/>
              <w:jc w:val="center"/>
              <w:textAlignment w:val="center"/>
              <w:rPr>
                <w:rFonts w:hint="eastAsia" w:ascii="仿宋" w:hAnsi="仿宋" w:eastAsia="仿宋" w:cs="仿宋"/>
                <w:b/>
                <w:bCs/>
                <w:color w:val="000000"/>
                <w:kern w:val="2"/>
                <w:sz w:val="24"/>
                <w:szCs w:val="24"/>
                <w:highlight w:val="none"/>
                <w:lang w:val="en-US" w:eastAsia="zh-CN" w:bidi="ar-SA"/>
              </w:rPr>
            </w:pPr>
            <w:bookmarkStart w:id="12" w:name="_Toc30599"/>
            <w:bookmarkStart w:id="13" w:name="_Toc17534"/>
            <w:r>
              <w:rPr>
                <w:rFonts w:hint="eastAsia" w:ascii="仿宋" w:hAnsi="仿宋" w:eastAsia="仿宋" w:cs="仿宋"/>
                <w:b/>
                <w:bCs/>
                <w:color w:val="000000"/>
                <w:kern w:val="0"/>
                <w:sz w:val="24"/>
                <w:szCs w:val="24"/>
                <w:highlight w:val="none"/>
                <w:lang w:bidi="ar"/>
              </w:rPr>
              <w:t>序号</w:t>
            </w:r>
          </w:p>
        </w:tc>
        <w:tc>
          <w:tcPr>
            <w:tcW w:w="2140" w:type="dxa"/>
            <w:vAlign w:val="center"/>
          </w:tcPr>
          <w:p>
            <w:pPr>
              <w:widowControl/>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课程名称</w:t>
            </w:r>
          </w:p>
        </w:tc>
        <w:tc>
          <w:tcPr>
            <w:tcW w:w="5858" w:type="dxa"/>
            <w:vAlign w:val="center"/>
          </w:tcPr>
          <w:p>
            <w:pPr>
              <w:widowControl/>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701"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21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财务机器人</w:t>
            </w:r>
            <w:r>
              <w:rPr>
                <w:rFonts w:hint="eastAsia" w:ascii="仿宋" w:hAnsi="仿宋" w:eastAsia="仿宋" w:cs="仿宋"/>
                <w:color w:val="000000"/>
                <w:w w:val="90"/>
                <w:sz w:val="24"/>
                <w:szCs w:val="24"/>
                <w:highlight w:val="none"/>
              </w:rPr>
              <w:t>智能核算应用</w:t>
            </w:r>
          </w:p>
        </w:tc>
        <w:tc>
          <w:tcPr>
            <w:tcW w:w="5858"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课程的主要内容包括认知 RPA 技术的应用原理，了解 RPA 技术在财务中创新应用的工作场景和工作过程，熟悉财务机器人软件使用的相关业务流程。通过本课程学习，学生能够能初步应用财务机器人软件的基本功能，掌握和运用智能工具开展相关工作，完成发票业务处理等典型财务工作场景的自动化处理，提高解决实际问题的能力和综合素养。 </w:t>
            </w:r>
          </w:p>
        </w:tc>
      </w:tr>
    </w:tbl>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（三）综合素养课程</w:t>
      </w:r>
      <w:bookmarkEnd w:id="12"/>
      <w:bookmarkEnd w:id="13"/>
    </w:p>
    <w:tbl>
      <w:tblPr>
        <w:tblStyle w:val="12"/>
        <w:tblW w:w="8538" w:type="dxa"/>
        <w:jc w:val="center"/>
        <w:tblLayout w:type="autofit"/>
        <w:tblCellMar>
          <w:top w:w="0" w:type="dxa"/>
          <w:left w:w="108" w:type="dxa"/>
          <w:bottom w:w="0" w:type="dxa"/>
          <w:right w:w="108" w:type="dxa"/>
        </w:tblCellMar>
      </w:tblPr>
      <w:tblGrid>
        <w:gridCol w:w="768"/>
        <w:gridCol w:w="1773"/>
        <w:gridCol w:w="5997"/>
      </w:tblGrid>
      <w:tr>
        <w:tblPrEx>
          <w:tblCellMar>
            <w:top w:w="0" w:type="dxa"/>
            <w:left w:w="108" w:type="dxa"/>
            <w:bottom w:w="0" w:type="dxa"/>
            <w:right w:w="108" w:type="dxa"/>
          </w:tblCellMar>
        </w:tblPrEx>
        <w:trPr>
          <w:trHeight w:val="447"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67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入学教育与</w:t>
            </w:r>
            <w:r>
              <w:rPr>
                <w:rFonts w:hint="eastAsia" w:ascii="仿宋" w:hAnsi="仿宋" w:eastAsia="仿宋" w:cs="仿宋"/>
                <w:color w:val="000000"/>
                <w:kern w:val="0"/>
                <w:sz w:val="24"/>
                <w:szCs w:val="24"/>
                <w:lang w:bidi="ar"/>
              </w:rPr>
              <w:t>军训</w:t>
            </w:r>
          </w:p>
        </w:tc>
        <w:tc>
          <w:tcPr>
            <w:tcW w:w="5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通过专题学习，使学生</w:t>
            </w:r>
            <w:r>
              <w:rPr>
                <w:rFonts w:hint="eastAsia" w:ascii="仿宋" w:hAnsi="仿宋" w:eastAsia="仿宋" w:cs="仿宋"/>
                <w:color w:val="000000"/>
                <w:kern w:val="0"/>
                <w:sz w:val="24"/>
                <w:szCs w:val="24"/>
                <w:lang w:bidi="ar"/>
              </w:rPr>
              <w:t>了解基本军事知识，熟知基本军事技能。</w:t>
            </w:r>
          </w:p>
        </w:tc>
      </w:tr>
      <w:tr>
        <w:tblPrEx>
          <w:tblCellMar>
            <w:top w:w="0" w:type="dxa"/>
            <w:left w:w="108" w:type="dxa"/>
            <w:bottom w:w="0" w:type="dxa"/>
            <w:right w:w="108" w:type="dxa"/>
          </w:tblCellMar>
        </w:tblPrEx>
        <w:trPr>
          <w:trHeight w:val="674"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创新创业教育</w:t>
            </w:r>
          </w:p>
        </w:tc>
        <w:tc>
          <w:tcPr>
            <w:tcW w:w="5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w:t>
            </w:r>
            <w:r>
              <w:rPr>
                <w:rFonts w:ascii="仿宋" w:hAnsi="仿宋" w:eastAsia="仿宋" w:cs="仿宋"/>
                <w:color w:val="000000"/>
                <w:kern w:val="0"/>
                <w:sz w:val="24"/>
                <w:szCs w:val="24"/>
                <w:lang w:bidi="ar"/>
              </w:rPr>
              <w:t>对学生进行创新思维培养和创业能力锻炼，</w:t>
            </w:r>
            <w:r>
              <w:rPr>
                <w:rFonts w:hint="eastAsia" w:ascii="仿宋" w:hAnsi="仿宋" w:eastAsia="仿宋" w:cs="仿宋"/>
                <w:color w:val="000000"/>
                <w:kern w:val="0"/>
                <w:sz w:val="24"/>
                <w:szCs w:val="24"/>
                <w:lang w:bidi="ar"/>
              </w:rPr>
              <w:t>培养学生的创业技能与开拓创新精神。</w:t>
            </w:r>
          </w:p>
        </w:tc>
      </w:tr>
      <w:tr>
        <w:tblPrEx>
          <w:tblCellMar>
            <w:top w:w="0" w:type="dxa"/>
            <w:left w:w="108" w:type="dxa"/>
            <w:bottom w:w="0" w:type="dxa"/>
            <w:right w:w="108" w:type="dxa"/>
          </w:tblCellMar>
        </w:tblPrEx>
        <w:trPr>
          <w:trHeight w:val="2805"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财经</w:t>
            </w:r>
            <w:r>
              <w:rPr>
                <w:rFonts w:hint="eastAsia" w:ascii="仿宋" w:hAnsi="仿宋" w:eastAsia="仿宋" w:cs="仿宋"/>
                <w:color w:val="000000"/>
                <w:kern w:val="0"/>
                <w:sz w:val="24"/>
                <w:szCs w:val="24"/>
                <w:lang w:val="en-US" w:eastAsia="zh-CN" w:bidi="ar"/>
              </w:rPr>
              <w:t>职业</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素养</w:t>
            </w:r>
          </w:p>
        </w:tc>
        <w:tc>
          <w:tcPr>
            <w:tcW w:w="5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设置</w:t>
            </w:r>
            <w:r>
              <w:rPr>
                <w:rFonts w:hint="eastAsia" w:ascii="仿宋" w:hAnsi="仿宋" w:eastAsia="仿宋" w:cs="仿宋"/>
                <w:color w:val="000000"/>
                <w:kern w:val="0"/>
                <w:sz w:val="24"/>
                <w:szCs w:val="24"/>
                <w:lang w:val="en-US" w:eastAsia="zh-CN" w:bidi="ar"/>
              </w:rPr>
              <w:t>15个主题结构，覆盖劳动及职业、收入及分配、消费及选择、货币及制度、市场及规则、经济发展及财政收支、投资及风险管理、金融机构及监管、社会保障、商业保险、对外贸易及开放、贸易争端及解决、资源及发展、财富积累及传承、财富创造及社会责任等内容。在教学中，教师要引导学生掌握知识、拓展阅读、深化思考、适当践行，使学生获得相应的财经职业素养。</w:t>
            </w:r>
          </w:p>
        </w:tc>
      </w:tr>
      <w:tr>
        <w:tblPrEx>
          <w:tblCellMar>
            <w:top w:w="0" w:type="dxa"/>
            <w:left w:w="108" w:type="dxa"/>
            <w:bottom w:w="0" w:type="dxa"/>
            <w:right w:w="108" w:type="dxa"/>
          </w:tblCellMar>
        </w:tblPrEx>
        <w:trPr>
          <w:trHeight w:val="1206"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就业指导</w:t>
            </w:r>
          </w:p>
        </w:tc>
        <w:tc>
          <w:tcPr>
            <w:tcW w:w="5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，引导学生了解职场、了解职业，树立准职业人的身份意识。激发</w:t>
            </w:r>
            <w:r>
              <w:rPr>
                <w:rFonts w:hint="eastAsia" w:ascii="仿宋" w:hAnsi="仿宋" w:eastAsia="仿宋" w:cs="仿宋"/>
                <w:color w:val="000000"/>
                <w:kern w:val="0"/>
                <w:sz w:val="24"/>
                <w:szCs w:val="24"/>
                <w:lang w:val="en-US" w:eastAsia="zh-CN" w:bidi="ar"/>
              </w:rPr>
              <w:t>学生</w:t>
            </w:r>
            <w:r>
              <w:rPr>
                <w:rFonts w:hint="eastAsia" w:ascii="仿宋" w:hAnsi="仿宋" w:eastAsia="仿宋" w:cs="仿宋"/>
                <w:color w:val="000000"/>
                <w:kern w:val="0"/>
                <w:sz w:val="24"/>
                <w:szCs w:val="24"/>
                <w:lang w:bidi="ar"/>
              </w:rPr>
              <w:t>全面提高自身素质的积极性和自觉性,养成良好的职业道德。</w:t>
            </w:r>
          </w:p>
        </w:tc>
      </w:tr>
      <w:tr>
        <w:tblPrEx>
          <w:tblCellMar>
            <w:top w:w="0" w:type="dxa"/>
            <w:left w:w="108" w:type="dxa"/>
            <w:bottom w:w="0" w:type="dxa"/>
            <w:right w:w="108" w:type="dxa"/>
          </w:tblCellMar>
        </w:tblPrEx>
        <w:trPr>
          <w:trHeight w:val="83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人际关系与沟通技巧</w:t>
            </w:r>
          </w:p>
        </w:tc>
        <w:tc>
          <w:tcPr>
            <w:tcW w:w="5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使学生</w:t>
            </w:r>
            <w:r>
              <w:rPr>
                <w:rFonts w:hint="eastAsia" w:ascii="仿宋" w:hAnsi="仿宋" w:eastAsia="仿宋" w:cs="仿宋"/>
                <w:color w:val="000000"/>
                <w:kern w:val="0"/>
                <w:sz w:val="24"/>
                <w:szCs w:val="24"/>
                <w:lang w:bidi="ar"/>
              </w:rPr>
              <w:t>了解人际关系，掌握沟通技巧，实现有效沟通。</w:t>
            </w:r>
          </w:p>
        </w:tc>
      </w:tr>
    </w:tbl>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14" w:name="_Toc32707"/>
      <w:bookmarkStart w:id="15" w:name="_Toc18187"/>
      <w:r>
        <w:rPr>
          <w:rFonts w:hint="eastAsia" w:ascii="楷体" w:hAnsi="楷体" w:eastAsia="楷体" w:cs="楷体"/>
          <w:b/>
          <w:bCs/>
          <w:color w:val="000000" w:themeColor="text1"/>
          <w:sz w:val="32"/>
          <w:szCs w:val="32"/>
          <w14:textFill>
            <w14:solidFill>
              <w14:schemeClr w14:val="tx1"/>
            </w14:solidFill>
          </w14:textFill>
        </w:rPr>
        <w:t>（四）资格认证课程</w:t>
      </w:r>
      <w:bookmarkEnd w:id="14"/>
      <w:bookmarkEnd w:id="15"/>
    </w:p>
    <w:tbl>
      <w:tblPr>
        <w:tblStyle w:val="12"/>
        <w:tblW w:w="8718" w:type="dxa"/>
        <w:jc w:val="center"/>
        <w:tblLayout w:type="autofit"/>
        <w:tblCellMar>
          <w:top w:w="0" w:type="dxa"/>
          <w:left w:w="108" w:type="dxa"/>
          <w:bottom w:w="0" w:type="dxa"/>
          <w:right w:w="108" w:type="dxa"/>
        </w:tblCellMar>
      </w:tblPr>
      <w:tblGrid>
        <w:gridCol w:w="3154"/>
        <w:gridCol w:w="3369"/>
        <w:gridCol w:w="2195"/>
      </w:tblGrid>
      <w:tr>
        <w:tblPrEx>
          <w:tblCellMar>
            <w:top w:w="0" w:type="dxa"/>
            <w:left w:w="108" w:type="dxa"/>
            <w:bottom w:w="0" w:type="dxa"/>
            <w:right w:w="108" w:type="dxa"/>
          </w:tblCellMar>
        </w:tblPrEx>
        <w:trPr>
          <w:trHeight w:val="419" w:hRule="atLeast"/>
          <w:jc w:val="center"/>
        </w:trPr>
        <w:tc>
          <w:tcPr>
            <w:tcW w:w="315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证书名称</w:t>
            </w:r>
          </w:p>
        </w:tc>
        <w:tc>
          <w:tcPr>
            <w:tcW w:w="336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颁发机构</w:t>
            </w:r>
          </w:p>
        </w:tc>
        <w:tc>
          <w:tcPr>
            <w:tcW w:w="219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bidi="ar"/>
              </w:rPr>
              <w:t>课程</w:t>
            </w:r>
            <w:r>
              <w:rPr>
                <w:rFonts w:hint="eastAsia" w:ascii="仿宋" w:hAnsi="仿宋" w:eastAsia="仿宋" w:cs="仿宋"/>
                <w:b/>
                <w:bCs/>
                <w:color w:val="000000"/>
                <w:kern w:val="0"/>
                <w:sz w:val="24"/>
                <w:szCs w:val="24"/>
                <w:lang w:val="en-US" w:eastAsia="zh-CN" w:bidi="ar"/>
              </w:rPr>
              <w:t>名称</w:t>
            </w:r>
          </w:p>
        </w:tc>
      </w:tr>
      <w:tr>
        <w:tblPrEx>
          <w:tblCellMar>
            <w:top w:w="0" w:type="dxa"/>
            <w:left w:w="108" w:type="dxa"/>
            <w:bottom w:w="0" w:type="dxa"/>
            <w:right w:w="108" w:type="dxa"/>
          </w:tblCellMar>
        </w:tblPrEx>
        <w:trPr>
          <w:trHeight w:val="419" w:hRule="atLeast"/>
          <w:jc w:val="center"/>
        </w:trPr>
        <w:tc>
          <w:tcPr>
            <w:tcW w:w="315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4"/>
                <w:szCs w:val="24"/>
                <w:lang w:bidi="ar"/>
              </w:rPr>
              <w:t>全国计算机等级考试（一级）</w:t>
            </w:r>
          </w:p>
        </w:tc>
        <w:tc>
          <w:tcPr>
            <w:tcW w:w="336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教育部考试中心</w:t>
            </w:r>
          </w:p>
        </w:tc>
        <w:tc>
          <w:tcPr>
            <w:tcW w:w="219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sz w:val="24"/>
                <w:szCs w:val="24"/>
              </w:rPr>
              <w:t>信息技术</w:t>
            </w:r>
          </w:p>
        </w:tc>
      </w:tr>
      <w:tr>
        <w:tblPrEx>
          <w:tblCellMar>
            <w:top w:w="0" w:type="dxa"/>
            <w:left w:w="108" w:type="dxa"/>
            <w:bottom w:w="0" w:type="dxa"/>
            <w:right w:w="108" w:type="dxa"/>
          </w:tblCellMar>
        </w:tblPrEx>
        <w:trPr>
          <w:trHeight w:val="419" w:hRule="atLeast"/>
          <w:jc w:val="center"/>
        </w:trPr>
        <w:tc>
          <w:tcPr>
            <w:tcW w:w="31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普通话</w:t>
            </w:r>
          </w:p>
        </w:tc>
        <w:tc>
          <w:tcPr>
            <w:tcW w:w="33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aps w:val="0"/>
                <w:color w:val="333333"/>
                <w:spacing w:val="0"/>
                <w:sz w:val="24"/>
                <w:szCs w:val="24"/>
                <w:shd w:val="clear" w:fill="FFFFFF"/>
              </w:rPr>
              <w:t>国家语言文字工作委员会</w:t>
            </w:r>
          </w:p>
        </w:tc>
        <w:tc>
          <w:tcPr>
            <w:tcW w:w="21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语文</w:t>
            </w:r>
          </w:p>
        </w:tc>
      </w:tr>
      <w:tr>
        <w:tblPrEx>
          <w:tblCellMar>
            <w:top w:w="0" w:type="dxa"/>
            <w:left w:w="108" w:type="dxa"/>
            <w:bottom w:w="0" w:type="dxa"/>
            <w:right w:w="108" w:type="dxa"/>
          </w:tblCellMar>
        </w:tblPrEx>
        <w:trPr>
          <w:trHeight w:val="429" w:hRule="atLeast"/>
          <w:jc w:val="center"/>
        </w:trPr>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金融大数据处理（初级）</w:t>
            </w:r>
          </w:p>
        </w:tc>
        <w:tc>
          <w:tcPr>
            <w:tcW w:w="3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深圳希施玛数据科技有限公司</w:t>
            </w:r>
          </w:p>
        </w:tc>
        <w:tc>
          <w:tcPr>
            <w:tcW w:w="21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金融大数据处理</w:t>
            </w:r>
          </w:p>
        </w:tc>
      </w:tr>
    </w:tbl>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16" w:name="_Toc9861"/>
      <w:bookmarkStart w:id="17" w:name="_Toc5507"/>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五</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实践性教学环节</w:t>
      </w:r>
      <w:bookmarkEnd w:id="16"/>
      <w:bookmarkEnd w:id="17"/>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14:textFill>
            <w14:solidFill>
              <w14:schemeClr w14:val="tx1"/>
            </w14:solidFill>
          </w14:textFill>
        </w:rPr>
      </w:pPr>
      <w:bookmarkStart w:id="18" w:name="_Toc5200"/>
      <w:bookmarkStart w:id="19" w:name="_Toc26600"/>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实践性教学环节主要包括实训、实习、社会实践等。在校内外进行</w:t>
      </w:r>
      <w:r>
        <w:rPr>
          <w:rFonts w:hint="eastAsia" w:ascii="仿宋" w:hAnsi="仿宋" w:eastAsia="仿宋" w:cs="仿宋"/>
          <w:b w:val="0"/>
          <w:bCs w:val="0"/>
          <w:color w:val="000000" w:themeColor="text1"/>
          <w:sz w:val="32"/>
          <w:szCs w:val="32"/>
          <w:lang w:val="en-US" w:eastAsia="zh-CN"/>
          <w14:textFill>
            <w14:solidFill>
              <w14:schemeClr w14:val="tx1"/>
            </w14:solidFill>
          </w14:textFill>
        </w:rPr>
        <w:t>虚拟</w:t>
      </w:r>
      <w:r>
        <w:rPr>
          <w:rFonts w:hint="eastAsia" w:ascii="仿宋" w:hAnsi="仿宋" w:eastAsia="仿宋" w:cs="仿宋"/>
          <w:b w:val="0"/>
          <w:bCs w:val="0"/>
          <w:color w:val="000000" w:themeColor="text1"/>
          <w:sz w:val="32"/>
          <w:szCs w:val="32"/>
          <w14:textFill>
            <w14:solidFill>
              <w14:schemeClr w14:val="tx1"/>
            </w14:solidFill>
          </w14:textFill>
        </w:rPr>
        <w:t>仿真模拟、软件操作等综合实训。实训实习既是实践性教学，也是专业课教学的重要内容，应注重理论与实践一体化教学。</w:t>
      </w:r>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岗位</w:t>
      </w:r>
      <w:r>
        <w:rPr>
          <w:rFonts w:hint="eastAsia" w:ascii="仿宋" w:hAnsi="仿宋" w:eastAsia="仿宋" w:cs="仿宋"/>
          <w:bCs/>
          <w:color w:val="000000" w:themeColor="text1"/>
          <w:sz w:val="32"/>
          <w:szCs w:val="32"/>
          <w14:textFill>
            <w14:solidFill>
              <w14:schemeClr w14:val="tx1"/>
            </w14:solidFill>
          </w14:textFill>
        </w:rPr>
        <w:t>实习时间</w:t>
      </w:r>
      <w:r>
        <w:rPr>
          <w:rFonts w:hint="eastAsia" w:ascii="仿宋" w:hAnsi="仿宋" w:eastAsia="仿宋" w:cs="仿宋"/>
          <w:bCs/>
          <w:color w:val="000000" w:themeColor="text1"/>
          <w:sz w:val="32"/>
          <w:szCs w:val="32"/>
          <w:lang w:val="en-US" w:eastAsia="zh-CN"/>
          <w14:textFill>
            <w14:solidFill>
              <w14:schemeClr w14:val="tx1"/>
            </w14:solidFill>
          </w14:textFill>
        </w:rPr>
        <w:t>主要</w:t>
      </w:r>
      <w:r>
        <w:rPr>
          <w:rFonts w:hint="eastAsia" w:ascii="仿宋" w:hAnsi="仿宋" w:eastAsia="仿宋" w:cs="仿宋"/>
          <w:bCs/>
          <w:color w:val="000000" w:themeColor="text1"/>
          <w:sz w:val="32"/>
          <w:szCs w:val="32"/>
          <w14:textFill>
            <w14:solidFill>
              <w14:schemeClr w14:val="tx1"/>
            </w14:solidFill>
          </w14:textFill>
        </w:rPr>
        <w:t>安排在第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第五学期、第六学期</w:t>
      </w:r>
      <w:r>
        <w:rPr>
          <w:rFonts w:hint="eastAsia" w:ascii="仿宋" w:hAnsi="仿宋" w:eastAsia="仿宋" w:cs="仿宋"/>
          <w:bCs/>
          <w:color w:val="000000" w:themeColor="text1"/>
          <w:sz w:val="32"/>
          <w:szCs w:val="32"/>
          <w14:textFill>
            <w14:solidFill>
              <w14:schemeClr w14:val="tx1"/>
            </w14:solidFill>
          </w14:textFill>
        </w:rPr>
        <w:t>。第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第五学期以校内实训为主，第六学期以校外实习为主。</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会计核算实习内容：</w:t>
      </w:r>
      <w:r>
        <w:rPr>
          <w:rFonts w:hint="eastAsia" w:ascii="仿宋" w:hAnsi="仿宋" w:eastAsia="仿宋" w:cs="仿宋"/>
          <w:bCs/>
          <w:color w:val="000000" w:themeColor="text1"/>
          <w:sz w:val="32"/>
          <w:szCs w:val="32"/>
          <w14:textFill>
            <w14:solidFill>
              <w14:schemeClr w14:val="tx1"/>
            </w14:solidFill>
          </w14:textFill>
        </w:rPr>
        <w:t>费用报销</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现金收支核算</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银行转账结算</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核算财产物资</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核算工资薪金</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核算产品成本</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核算财务成果</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编制会计报表</w:t>
      </w:r>
      <w:r>
        <w:rPr>
          <w:rFonts w:hint="eastAsia" w:ascii="仿宋" w:hAnsi="仿宋" w:eastAsia="仿宋" w:cs="仿宋"/>
          <w:bCs/>
          <w:color w:val="000000" w:themeColor="text1"/>
          <w:sz w:val="32"/>
          <w:szCs w:val="32"/>
          <w:lang w:val="en-US" w:eastAsia="zh-CN"/>
          <w14:textFill>
            <w14:solidFill>
              <w14:schemeClr w14:val="tx1"/>
            </w14:solidFill>
          </w14:textFill>
        </w:rPr>
        <w:t>等。</w:t>
      </w:r>
    </w:p>
    <w:p>
      <w:pPr>
        <w:spacing w:line="560" w:lineRule="exact"/>
        <w:ind w:firstLine="640" w:firstLineChars="200"/>
        <w:jc w:val="left"/>
        <w:outlineLvl w:val="1"/>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金融数据处理实习内容：金融数据认知</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数据采集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数据清洗</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数据存储等。</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相关要求</w:t>
      </w:r>
      <w:bookmarkEnd w:id="18"/>
      <w:bookmarkEnd w:id="19"/>
    </w:p>
    <w:p>
      <w:pPr>
        <w:numPr>
          <w:ilvl w:val="0"/>
          <w:numId w:val="0"/>
        </w:numPr>
        <w:spacing w:line="560" w:lineRule="exact"/>
        <w:ind w:firstLine="640" w:firstLineChars="20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本专业落实课程思政，推进全员、全过程、全方位育人，实现思想政治教育与技术技能培养的有机统一。开设人际关系与沟通技巧、创新创业教育、就业指导等方面的专题讲座，将志愿服务活动和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劳动</w:t>
      </w:r>
      <w:r>
        <w:rPr>
          <w:rFonts w:hint="eastAsia" w:ascii="仿宋" w:hAnsi="仿宋" w:eastAsia="仿宋" w:cs="仿宋"/>
          <w:b w:val="0"/>
          <w:bCs w:val="0"/>
          <w:color w:val="000000" w:themeColor="text1"/>
          <w:sz w:val="32"/>
          <w:szCs w:val="32"/>
          <w14:textFill>
            <w14:solidFill>
              <w14:schemeClr w14:val="tx1"/>
            </w14:solidFill>
          </w14:textFill>
        </w:rPr>
        <w:t>实践活动融入有关实践性教学环节中。</w:t>
      </w:r>
    </w:p>
    <w:p>
      <w:pPr>
        <w:numPr>
          <w:ilvl w:val="0"/>
          <w:numId w:val="0"/>
        </w:num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20" w:name="_Toc5183"/>
      <w:bookmarkStart w:id="21" w:name="_Toc31348"/>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教学进程总体安排</w:t>
      </w:r>
      <w:bookmarkEnd w:id="20"/>
      <w:bookmarkEnd w:id="21"/>
    </w:p>
    <w:tbl>
      <w:tblPr>
        <w:tblStyle w:val="12"/>
        <w:tblW w:w="8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702"/>
        <w:gridCol w:w="711"/>
        <w:gridCol w:w="488"/>
        <w:gridCol w:w="1815"/>
        <w:gridCol w:w="711"/>
        <w:gridCol w:w="518"/>
        <w:gridCol w:w="530"/>
        <w:gridCol w:w="530"/>
        <w:gridCol w:w="508"/>
        <w:gridCol w:w="502"/>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课程类别</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性质</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课程名称</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总学时</w:t>
            </w:r>
          </w:p>
        </w:tc>
        <w:tc>
          <w:tcPr>
            <w:tcW w:w="3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周课时安排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第一学期</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第二学期</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第三学期</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第四学期</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第五学期</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第六学期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公共基础课程</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语文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信息技术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90"/>
                <w:sz w:val="22"/>
                <w:szCs w:val="22"/>
                <w:u w:val="none"/>
              </w:rPr>
            </w:pPr>
            <w:r>
              <w:rPr>
                <w:rFonts w:hint="eastAsia" w:ascii="仿宋" w:hAnsi="仿宋" w:eastAsia="仿宋" w:cs="仿宋"/>
                <w:i w:val="0"/>
                <w:iCs w:val="0"/>
                <w:color w:val="000000"/>
                <w:w w:val="90"/>
                <w:kern w:val="0"/>
                <w:sz w:val="22"/>
                <w:szCs w:val="22"/>
                <w:u w:val="none"/>
                <w:lang w:val="en-US" w:eastAsia="zh-CN" w:bidi="ar"/>
              </w:rPr>
              <w:t>中国特色社会主义</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80"/>
                <w:sz w:val="22"/>
                <w:szCs w:val="22"/>
                <w:u w:val="none"/>
              </w:rPr>
            </w:pPr>
            <w:r>
              <w:rPr>
                <w:rFonts w:hint="eastAsia" w:ascii="仿宋" w:hAnsi="仿宋" w:eastAsia="仿宋" w:cs="仿宋"/>
                <w:i w:val="0"/>
                <w:iCs w:val="0"/>
                <w:color w:val="000000"/>
                <w:w w:val="80"/>
                <w:kern w:val="0"/>
                <w:sz w:val="22"/>
                <w:szCs w:val="22"/>
                <w:u w:val="none"/>
                <w:lang w:val="en-US" w:eastAsia="zh-CN" w:bidi="ar"/>
              </w:rPr>
              <w:t>心理健康与职业生涯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哲学与人生</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职业道德与法治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体育与健康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历史</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音乐欣赏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礼乐修身</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美术欣赏</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书法</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014" w:type="dxa"/>
            <w:gridSpan w:val="3"/>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公共基础课程小计</w:t>
            </w:r>
          </w:p>
        </w:tc>
        <w:tc>
          <w:tcPr>
            <w:tcW w:w="711"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1579</w:t>
            </w:r>
          </w:p>
        </w:tc>
        <w:tc>
          <w:tcPr>
            <w:tcW w:w="51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3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3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50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502"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2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技能)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w:t>
            </w:r>
          </w:p>
        </w:tc>
        <w:tc>
          <w:tcPr>
            <w:tcW w:w="70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专业理论课程</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会计基础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企业财务会计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保险基础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证券基础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个人投资理财</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72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金融产品营销</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54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财经法规与会计职业道德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金融技能</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专业实训课程</w:t>
            </w:r>
          </w:p>
        </w:tc>
        <w:tc>
          <w:tcPr>
            <w:tcW w:w="711"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出纳与资金管理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会计信息化</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100"/>
                <w:kern w:val="2"/>
                <w:sz w:val="22"/>
                <w:szCs w:val="22"/>
                <w:u w:val="none"/>
                <w:lang w:val="en-US" w:eastAsia="zh-CN" w:bidi="ar-SA"/>
              </w:rPr>
            </w:pPr>
            <w:r>
              <w:rPr>
                <w:rFonts w:hint="eastAsia" w:ascii="仿宋" w:hAnsi="仿宋" w:eastAsia="仿宋" w:cs="仿宋"/>
                <w:i w:val="0"/>
                <w:iCs w:val="0"/>
                <w:color w:val="000000"/>
                <w:w w:val="100"/>
                <w:kern w:val="0"/>
                <w:sz w:val="22"/>
                <w:szCs w:val="22"/>
                <w:u w:val="none"/>
                <w:lang w:val="en-US" w:eastAsia="zh-CN" w:bidi="ar"/>
              </w:rPr>
              <w:t>税费计算与智能申报</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业财税综合实训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4</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金融大数据处理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144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716"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专业(技能)课程小计</w:t>
            </w:r>
          </w:p>
        </w:tc>
        <w:tc>
          <w:tcPr>
            <w:tcW w:w="711"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1320</w:t>
            </w:r>
          </w:p>
        </w:tc>
        <w:tc>
          <w:tcPr>
            <w:tcW w:w="51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530"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530"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50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502"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524"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160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综合素养课程</w:t>
            </w:r>
          </w:p>
        </w:tc>
        <w:tc>
          <w:tcPr>
            <w:tcW w:w="71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财经职业素养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6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入学教育与军训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16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人际关系与沟通技巧</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6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创新创业教育</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60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1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就业指导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46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岗位实习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5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4615" w:type="dxa"/>
            <w:gridSpan w:val="5"/>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周课时合计</w:t>
            </w:r>
          </w:p>
        </w:tc>
        <w:tc>
          <w:tcPr>
            <w:tcW w:w="711"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3457</w:t>
            </w:r>
          </w:p>
        </w:tc>
        <w:tc>
          <w:tcPr>
            <w:tcW w:w="51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53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53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50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502"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52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资格认证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全国计算机等级考试（一级）</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普通话</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金融大数据处理（初级）</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专业拓展课程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必修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财务机器人智能核算应用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3天</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s="仿宋"/>
                <w:i w:val="0"/>
                <w:iCs w:val="0"/>
                <w:color w:val="000000"/>
                <w:kern w:val="2"/>
                <w:sz w:val="22"/>
                <w:szCs w:val="22"/>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2"/>
                <w:szCs w:val="22"/>
                <w:u w:val="none"/>
                <w:lang w:val="en-US" w:eastAsia="zh-CN" w:bidi="ar-SA"/>
              </w:rPr>
            </w:pPr>
          </w:p>
        </w:tc>
      </w:tr>
    </w:tbl>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、实施保障</w:t>
      </w:r>
    </w:p>
    <w:p>
      <w:pPr>
        <w:spacing w:line="560" w:lineRule="exact"/>
        <w:ind w:firstLine="57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师资队伍</w:t>
      </w:r>
      <w:r>
        <w:rPr>
          <w:rFonts w:hint="eastAsia" w:ascii="仿宋" w:hAnsi="仿宋" w:eastAsia="仿宋" w:cs="仿宋"/>
          <w:bCs/>
          <w:color w:val="000000" w:themeColor="text1"/>
          <w:sz w:val="32"/>
          <w:szCs w:val="32"/>
          <w14:textFill>
            <w14:solidFill>
              <w14:schemeClr w14:val="tx1"/>
            </w14:solidFill>
          </w14:textFill>
        </w:rPr>
        <w:t>是人才培养方案得以顺利实施的关键。工作过程系统化课程体系的实施需要建立由专业带头人、骨干教师、“双师型”教师、企业技术专家组成的专兼结合教学团队。通过各种形式的培训、业务比赛等措施，建设符合项目式、模块化教学需要的教学创新团队，不断优化教师能力结构，提升教师专业技能水平和教研水平，全面提升教师信息技术应用能力，推动大数据、人工智能、虚拟现实等现代信息技术在教育教学中的广泛应用。积极推动教师角色的转变和教育理念、教学内容、教学方法以及教学评价等方面的改革。</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2" w:name="_Toc11008"/>
      <w:bookmarkStart w:id="23" w:name="_Toc32083"/>
      <w:r>
        <w:rPr>
          <w:rFonts w:hint="eastAsia" w:ascii="仿宋" w:hAnsi="仿宋" w:eastAsia="仿宋" w:cs="仿宋"/>
          <w:b/>
          <w:bCs w:val="0"/>
          <w:color w:val="000000" w:themeColor="text1"/>
          <w:sz w:val="32"/>
          <w:szCs w:val="32"/>
          <w:lang w:val="en-US" w:eastAsia="zh-CN"/>
          <w14:textFill>
            <w14:solidFill>
              <w14:schemeClr w14:val="tx1"/>
            </w14:solidFill>
          </w14:textFill>
        </w:rPr>
        <w:t>1.队伍结构</w:t>
      </w:r>
      <w:bookmarkEnd w:id="22"/>
      <w:bookmarkEnd w:id="23"/>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本专业专任教师数与学生数之比不低于1</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25，</w:t>
      </w:r>
      <w:r>
        <w:rPr>
          <w:rFonts w:hint="eastAsia" w:ascii="仿宋" w:hAnsi="仿宋" w:eastAsia="仿宋" w:cs="仿宋"/>
          <w:bCs/>
          <w:color w:val="000000" w:themeColor="text1"/>
          <w:sz w:val="32"/>
          <w:szCs w:val="32"/>
          <w:lang w:val="en-US" w:eastAsia="zh-CN"/>
          <w14:textFill>
            <w14:solidFill>
              <w14:schemeClr w14:val="tx1"/>
            </w14:solidFill>
          </w14:textFill>
        </w:rPr>
        <w:t>专业课教师中</w:t>
      </w:r>
      <w:r>
        <w:rPr>
          <w:rFonts w:hint="eastAsia" w:ascii="仿宋" w:hAnsi="仿宋" w:eastAsia="仿宋" w:cs="仿宋"/>
          <w:bCs/>
          <w:color w:val="000000" w:themeColor="text1"/>
          <w:sz w:val="32"/>
          <w:szCs w:val="32"/>
          <w14:textFill>
            <w14:solidFill>
              <w14:schemeClr w14:val="tx1"/>
            </w14:solidFill>
          </w14:textFill>
        </w:rPr>
        <w:t>双师素质教师比例</w:t>
      </w:r>
      <w:r>
        <w:rPr>
          <w:rFonts w:hint="eastAsia" w:ascii="仿宋" w:hAnsi="仿宋" w:eastAsia="仿宋" w:cs="仿宋"/>
          <w:bCs/>
          <w:color w:val="000000" w:themeColor="text1"/>
          <w:sz w:val="32"/>
          <w:szCs w:val="32"/>
          <w:lang w:val="en-US" w:eastAsia="zh-CN"/>
          <w14:textFill>
            <w14:solidFill>
              <w14:schemeClr w14:val="tx1"/>
            </w14:solidFill>
          </w14:textFill>
        </w:rPr>
        <w:t>达到89</w:t>
      </w:r>
      <w:r>
        <w:rPr>
          <w:rFonts w:hint="eastAsia" w:ascii="仿宋" w:hAnsi="仿宋" w:eastAsia="仿宋" w:cs="仿宋"/>
          <w:bCs/>
          <w:color w:val="000000" w:themeColor="text1"/>
          <w:sz w:val="32"/>
          <w:szCs w:val="32"/>
          <w14:textFill>
            <w14:solidFill>
              <w14:schemeClr w14:val="tx1"/>
            </w14:solidFill>
          </w14:textFill>
        </w:rPr>
        <w:t>% 。</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4" w:name="_Toc24402"/>
      <w:bookmarkStart w:id="25" w:name="_Toc6555"/>
      <w:r>
        <w:rPr>
          <w:rFonts w:hint="eastAsia" w:ascii="仿宋" w:hAnsi="仿宋" w:eastAsia="仿宋" w:cs="仿宋"/>
          <w:b/>
          <w:bCs w:val="0"/>
          <w:color w:val="000000" w:themeColor="text1"/>
          <w:sz w:val="32"/>
          <w:szCs w:val="32"/>
          <w:lang w:val="en-US" w:eastAsia="zh-CN"/>
          <w14:textFill>
            <w14:solidFill>
              <w14:schemeClr w14:val="tx1"/>
            </w14:solidFill>
          </w14:textFill>
        </w:rPr>
        <w:t>2.专任教师</w:t>
      </w:r>
      <w:bookmarkEnd w:id="24"/>
      <w:bookmarkEnd w:id="25"/>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专任教师应具有中等职业学校教师资格证书</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有理想信念、有道德情操、有扎实学识、有仁爱之心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具有本科及以上学历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具有扎实的本专业相关理论功底和实践能力</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具有较强</w:t>
      </w:r>
      <w:r>
        <w:rPr>
          <w:rFonts w:hint="eastAsia" w:ascii="仿宋" w:hAnsi="仿宋" w:eastAsia="仿宋" w:cs="仿宋"/>
          <w:bCs/>
          <w:color w:val="000000" w:themeColor="text1"/>
          <w:sz w:val="32"/>
          <w:szCs w:val="32"/>
          <w:lang w:eastAsia="zh-CN"/>
          <w14:textFill>
            <w14:solidFill>
              <w14:schemeClr w14:val="tx1"/>
            </w14:solidFill>
          </w14:textFill>
        </w:rPr>
        <w:t>的</w:t>
      </w:r>
      <w:r>
        <w:rPr>
          <w:rFonts w:hint="eastAsia" w:ascii="仿宋" w:hAnsi="仿宋" w:eastAsia="仿宋" w:cs="仿宋"/>
          <w:bCs/>
          <w:color w:val="000000" w:themeColor="text1"/>
          <w:sz w:val="32"/>
          <w:szCs w:val="32"/>
          <w14:textFill>
            <w14:solidFill>
              <w14:schemeClr w14:val="tx1"/>
            </w14:solidFill>
          </w14:textFill>
        </w:rPr>
        <w:t>信息化教学能力，能够开展课程教学改革和科学研究</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有每5年累计不少于6个月的企业实践经历。</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6" w:name="_Toc18442"/>
      <w:bookmarkStart w:id="27" w:name="_Toc2254"/>
      <w:r>
        <w:rPr>
          <w:rFonts w:hint="eastAsia" w:ascii="仿宋" w:hAnsi="仿宋" w:eastAsia="仿宋" w:cs="仿宋"/>
          <w:b/>
          <w:bCs w:val="0"/>
          <w:color w:val="000000" w:themeColor="text1"/>
          <w:sz w:val="32"/>
          <w:szCs w:val="32"/>
          <w:lang w:val="en-US" w:eastAsia="zh-CN"/>
          <w14:textFill>
            <w14:solidFill>
              <w14:schemeClr w14:val="tx1"/>
            </w14:solidFill>
          </w14:textFill>
        </w:rPr>
        <w:t>3.专业带头人</w:t>
      </w:r>
      <w:bookmarkEnd w:id="26"/>
      <w:bookmarkEnd w:id="27"/>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专业带头人原则上应具有副高级以上职称，能够较好地把握</w:t>
      </w:r>
      <w:r>
        <w:rPr>
          <w:rFonts w:hint="eastAsia" w:ascii="仿宋" w:hAnsi="仿宋" w:eastAsia="仿宋" w:cs="仿宋"/>
          <w:bCs/>
          <w:color w:val="000000" w:themeColor="text1"/>
          <w:sz w:val="32"/>
          <w:szCs w:val="32"/>
          <w:lang w:val="en-US" w:eastAsia="zh-CN"/>
          <w14:textFill>
            <w14:solidFill>
              <w14:schemeClr w14:val="tx1"/>
            </w14:solidFill>
          </w14:textFill>
        </w:rPr>
        <w:t>本专业</w:t>
      </w:r>
      <w:r>
        <w:rPr>
          <w:rFonts w:hint="eastAsia" w:ascii="仿宋" w:hAnsi="仿宋" w:eastAsia="仿宋" w:cs="仿宋"/>
          <w:bCs/>
          <w:color w:val="000000" w:themeColor="text1"/>
          <w:sz w:val="32"/>
          <w:szCs w:val="32"/>
          <w14:textFill>
            <w14:solidFill>
              <w14:schemeClr w14:val="tx1"/>
            </w14:solidFill>
          </w14:textFill>
        </w:rPr>
        <w:t>学科前沿发展动态，能广泛联系行业企业，了解行业企业对本专业人才的需求实际，专业研究能力强</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组织开展教科研工作能力强，在本领域具有一定的专业影响力。</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8" w:name="_Toc8617"/>
      <w:bookmarkStart w:id="29" w:name="_Toc20896"/>
      <w:r>
        <w:rPr>
          <w:rFonts w:hint="eastAsia" w:ascii="仿宋" w:hAnsi="仿宋" w:eastAsia="仿宋" w:cs="仿宋"/>
          <w:b/>
          <w:bCs w:val="0"/>
          <w:color w:val="000000" w:themeColor="text1"/>
          <w:sz w:val="32"/>
          <w:szCs w:val="32"/>
          <w:lang w:val="en-US" w:eastAsia="zh-CN"/>
          <w14:textFill>
            <w14:solidFill>
              <w14:schemeClr w14:val="tx1"/>
            </w14:solidFill>
          </w14:textFill>
        </w:rPr>
        <w:t>4.兼职教师</w:t>
      </w:r>
      <w:bookmarkEnd w:id="28"/>
      <w:bookmarkEnd w:id="29"/>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兼职教师主要从与本专业相关的行业企业聘任。要求具备良好的思想政治素质、职业道德和工匠精神，具有扎实的专业知识和丰富的实际工作经验，具有中级及以上相关专业</w:t>
      </w:r>
      <w:r>
        <w:rPr>
          <w:rFonts w:hint="eastAsia" w:ascii="仿宋" w:hAnsi="仿宋" w:eastAsia="仿宋" w:cs="仿宋"/>
          <w:bCs/>
          <w:color w:val="000000" w:themeColor="text1"/>
          <w:sz w:val="32"/>
          <w:szCs w:val="32"/>
          <w:lang w:val="en-US" w:eastAsia="zh-CN"/>
          <w14:textFill>
            <w14:solidFill>
              <w14:schemeClr w14:val="tx1"/>
            </w14:solidFill>
          </w14:textFill>
        </w:rPr>
        <w:t>职称</w:t>
      </w:r>
      <w:r>
        <w:rPr>
          <w:rFonts w:hint="eastAsia" w:ascii="仿宋" w:hAnsi="仿宋" w:eastAsia="仿宋" w:cs="仿宋"/>
          <w:bCs/>
          <w:color w:val="000000" w:themeColor="text1"/>
          <w:sz w:val="32"/>
          <w:szCs w:val="32"/>
          <w14:textFill>
            <w14:solidFill>
              <w14:schemeClr w14:val="tx1"/>
            </w14:solidFill>
          </w14:textFill>
        </w:rPr>
        <w:t>，能承担专业课程教学、实习实训指导和学生职业发展规划指导等教学任务</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12"/>
        <w:tblW w:w="8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2518"/>
        <w:gridCol w:w="1080"/>
        <w:gridCol w:w="1664"/>
        <w:gridCol w:w="2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赵建素（专业部主任）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郝翠玲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 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 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芦睿娟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庞 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 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 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王宏颖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袁彦维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崔艳艳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刘红雨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许超平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殷美倩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张春强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焦忠海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李诗雨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刘青萍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菁</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王煜哲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林剑平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黄秋香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bl>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（二）教学设施</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1.教室</w:t>
      </w:r>
    </w:p>
    <w:p>
      <w:pPr>
        <w:spacing w:line="560" w:lineRule="exact"/>
        <w:ind w:firstLine="627" w:firstLineChars="196"/>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专业教室一般配备黑(白) 板、多媒体计算机、投影设备、音响设备，互联网接入或WiFi环境，并实施网络安全防护措施</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安装应急照明装置并保持良好状态，符合紧急疏散要求，标志明显，保持逃生通道畅通无阻。</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2.校内实训室</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校内实训室应加大软硬件投入，丰富实训内容，达到提升职业能力的目的。</w:t>
      </w:r>
    </w:p>
    <w:tbl>
      <w:tblPr>
        <w:tblStyle w:val="1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612"/>
        <w:gridCol w:w="3301"/>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序号</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实训室名称</w:t>
            </w:r>
          </w:p>
        </w:tc>
        <w:tc>
          <w:tcPr>
            <w:tcW w:w="3301"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功能</w:t>
            </w:r>
          </w:p>
        </w:tc>
        <w:tc>
          <w:tcPr>
            <w:tcW w:w="295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智慧财务</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创新中心</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利用智慧财务云平台进行财务机器人、财务人员的协同工作实训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67台电脑、1套多媒体设备、扫描设备16台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税务素养</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实践中心</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利用税务技能赛训平台进行税务业务的模拟训练</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业财税综合实训中心</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利用财会职业能力养成平台进行业财税审一体化实训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岗课赛证</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服务中心</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sz w:val="24"/>
                <w:szCs w:val="24"/>
              </w:rPr>
              <w:t>支持考证、竞赛训练、社会培训等服务，可作为职业技能证书的考测现场，同时也可作为国赛、省赛、市赛的比赛场所。</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5</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6</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7</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8</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9</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val="en-US" w:eastAsia="zh-CN" w:bidi="ar"/>
              </w:rPr>
              <w:t>虚拟商业社会环境</w:t>
            </w:r>
            <w:r>
              <w:rPr>
                <w:rFonts w:hint="eastAsia" w:ascii="仿宋" w:hAnsi="仿宋" w:eastAsia="仿宋" w:cs="仿宋"/>
                <w:kern w:val="0"/>
                <w:sz w:val="24"/>
                <w:szCs w:val="24"/>
                <w:lang w:bidi="ar"/>
              </w:rPr>
              <w:t>实训室</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利用虚拟商业社会环境模拟实训平台进行企业经营</w:t>
            </w:r>
            <w:r>
              <w:rPr>
                <w:rFonts w:hint="eastAsia" w:ascii="仿宋" w:hAnsi="仿宋" w:eastAsia="仿宋" w:cs="仿宋"/>
                <w:kern w:val="0"/>
                <w:sz w:val="24"/>
                <w:szCs w:val="24"/>
                <w:lang w:bidi="ar"/>
              </w:rPr>
              <w:t>综合实训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10</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ERP沙盘</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w:t>
            </w:r>
            <w:r>
              <w:rPr>
                <w:rFonts w:hint="eastAsia" w:ascii="仿宋_GB2312" w:hAnsi="黑体" w:eastAsia="仿宋_GB2312"/>
                <w:sz w:val="24"/>
              </w:rPr>
              <w:t>电子沙盘</w:t>
            </w:r>
            <w:r>
              <w:rPr>
                <w:rFonts w:hint="eastAsia" w:ascii="仿宋_GB2312" w:hAnsi="黑体" w:eastAsia="仿宋_GB2312"/>
                <w:sz w:val="24"/>
                <w:lang w:val="en-US" w:eastAsia="zh-CN"/>
              </w:rPr>
              <w:t>模拟操作系统</w:t>
            </w:r>
            <w:r>
              <w:rPr>
                <w:rFonts w:hint="eastAsia" w:ascii="仿宋" w:hAnsi="仿宋" w:eastAsia="仿宋" w:cs="仿宋"/>
                <w:kern w:val="0"/>
                <w:sz w:val="24"/>
                <w:szCs w:val="24"/>
                <w:lang w:val="en-US" w:eastAsia="zh-CN" w:bidi="ar"/>
              </w:rPr>
              <w:t>进行ERP</w:t>
            </w:r>
            <w:r>
              <w:rPr>
                <w:rFonts w:hint="eastAsia" w:ascii="仿宋" w:hAnsi="仿宋" w:eastAsia="仿宋" w:cs="仿宋"/>
                <w:kern w:val="0"/>
                <w:sz w:val="24"/>
                <w:szCs w:val="24"/>
                <w:lang w:bidi="ar"/>
              </w:rPr>
              <w:t>企业经营实训</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595"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11</w:t>
            </w:r>
          </w:p>
        </w:tc>
        <w:tc>
          <w:tcPr>
            <w:tcW w:w="161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财经技能</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330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bidi="ar"/>
              </w:rPr>
              <w:t>满足点钞、传票翻打、珠算、计算器等财经技能学习需要</w:t>
            </w:r>
          </w:p>
        </w:tc>
        <w:tc>
          <w:tcPr>
            <w:tcW w:w="2950"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50台爱丁派、1台验钞机、50个计算器、50个算盘、1套多媒体设备、若干钞纸和传票</w:t>
            </w:r>
          </w:p>
        </w:tc>
      </w:tr>
    </w:tbl>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3.校外实训基地</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外实训基地是师生从事实践教学、社会实践、科研活动的重要场所，是培养学生综合素质和社会实践能力的重要课堂，是校企合作的重要途径。校外实训基地应根据金融岗位实习要求，依托证券公司、保险公司等机构建立金融岗位工作实习基地。</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（三）教学资源</w:t>
      </w:r>
    </w:p>
    <w:p>
      <w:pPr>
        <w:pStyle w:val="4"/>
        <w:spacing w:after="0" w:line="560" w:lineRule="exact"/>
        <w:ind w:left="136" w:right="233" w:firstLine="632" w:firstLineChars="200"/>
        <w:rPr>
          <w:rFonts w:ascii="仿宋" w:hAnsi="仿宋" w:eastAsia="仿宋" w:cs="仿宋"/>
          <w:sz w:val="32"/>
          <w:szCs w:val="32"/>
        </w:rPr>
      </w:pPr>
      <w:r>
        <w:rPr>
          <w:rFonts w:hint="eastAsia" w:ascii="仿宋" w:hAnsi="仿宋" w:eastAsia="仿宋" w:cs="仿宋"/>
          <w:spacing w:val="-2"/>
          <w:sz w:val="32"/>
          <w:szCs w:val="32"/>
        </w:rPr>
        <w:t>主要包括能够满足学生专业学习、教师专业教学研究和教学实施需要的教材、图书</w:t>
      </w:r>
      <w:r>
        <w:rPr>
          <w:rFonts w:hint="eastAsia" w:ascii="仿宋" w:hAnsi="仿宋" w:eastAsia="仿宋" w:cs="仿宋"/>
          <w:sz w:val="32"/>
          <w:szCs w:val="32"/>
        </w:rPr>
        <w:t>和数字资源等。</w:t>
      </w:r>
    </w:p>
    <w:p>
      <w:pPr>
        <w:pStyle w:val="4"/>
        <w:spacing w:after="0" w:line="560" w:lineRule="exact"/>
        <w:ind w:left="136" w:right="233" w:firstLine="632" w:firstLineChars="200"/>
        <w:rPr>
          <w:rFonts w:ascii="仿宋" w:hAnsi="仿宋" w:eastAsia="仿宋" w:cs="仿宋"/>
          <w:spacing w:val="-2"/>
          <w:sz w:val="32"/>
          <w:szCs w:val="32"/>
        </w:rPr>
      </w:pPr>
      <w:r>
        <w:rPr>
          <w:rFonts w:hint="eastAsia" w:ascii="仿宋" w:hAnsi="仿宋" w:eastAsia="仿宋" w:cs="仿宋"/>
          <w:spacing w:val="-2"/>
          <w:sz w:val="32"/>
          <w:szCs w:val="32"/>
        </w:rPr>
        <w:t>1.教材选用基本要求</w:t>
      </w:r>
    </w:p>
    <w:p>
      <w:pPr>
        <w:pStyle w:val="4"/>
        <w:spacing w:after="0" w:line="560" w:lineRule="exact"/>
        <w:ind w:left="136" w:right="233" w:firstLine="632" w:firstLineChars="200"/>
        <w:rPr>
          <w:rFonts w:ascii="仿宋" w:hAnsi="仿宋" w:eastAsia="仿宋" w:cs="仿宋"/>
          <w:spacing w:val="-2"/>
          <w:sz w:val="32"/>
          <w:szCs w:val="32"/>
        </w:rPr>
      </w:pPr>
      <w:r>
        <w:rPr>
          <w:rFonts w:hint="eastAsia" w:ascii="仿宋" w:hAnsi="仿宋" w:eastAsia="仿宋" w:cs="仿宋"/>
          <w:spacing w:val="-2"/>
          <w:sz w:val="32"/>
          <w:szCs w:val="32"/>
        </w:rPr>
        <w:t>健全教材选用制度，选用体现新技术、新工艺、新规范等的高质量教材，引入典型工作案例。</w:t>
      </w:r>
    </w:p>
    <w:p>
      <w:pPr>
        <w:pStyle w:val="4"/>
        <w:spacing w:after="0" w:line="560" w:lineRule="exact"/>
        <w:ind w:left="136" w:right="233" w:firstLine="632" w:firstLineChars="200"/>
        <w:rPr>
          <w:rFonts w:ascii="仿宋" w:hAnsi="仿宋" w:eastAsia="仿宋" w:cs="仿宋"/>
          <w:sz w:val="32"/>
          <w:szCs w:val="32"/>
        </w:rPr>
      </w:pPr>
      <w:r>
        <w:rPr>
          <w:rFonts w:hint="eastAsia" w:ascii="仿宋" w:hAnsi="仿宋" w:eastAsia="仿宋" w:cs="仿宋"/>
          <w:spacing w:val="-2"/>
          <w:sz w:val="32"/>
          <w:szCs w:val="32"/>
        </w:rPr>
        <w:t>按照学校的教材选用制度，优先从国家和省规划教材中</w:t>
      </w:r>
      <w:r>
        <w:rPr>
          <w:rFonts w:hint="eastAsia" w:ascii="仿宋" w:hAnsi="仿宋" w:eastAsia="仿宋" w:cs="仿宋"/>
          <w:sz w:val="32"/>
          <w:szCs w:val="32"/>
        </w:rPr>
        <w:t>选用。鼓励与行业企业合作开发特色鲜明的专业课校本教材。</w:t>
      </w:r>
    </w:p>
    <w:p>
      <w:pPr>
        <w:pStyle w:val="4"/>
        <w:spacing w:after="0" w:line="560" w:lineRule="exact"/>
        <w:ind w:left="136" w:firstLine="640" w:firstLineChars="200"/>
        <w:rPr>
          <w:rFonts w:ascii="仿宋" w:hAnsi="仿宋" w:eastAsia="仿宋" w:cs="仿宋"/>
          <w:sz w:val="32"/>
          <w:szCs w:val="32"/>
        </w:rPr>
      </w:pPr>
      <w:r>
        <w:rPr>
          <w:rFonts w:hint="eastAsia" w:ascii="仿宋" w:hAnsi="仿宋" w:eastAsia="仿宋" w:cs="仿宋"/>
          <w:sz w:val="32"/>
          <w:szCs w:val="32"/>
        </w:rPr>
        <w:t>2.图书文献配备基本要求</w:t>
      </w:r>
    </w:p>
    <w:p>
      <w:pPr>
        <w:pStyle w:val="4"/>
        <w:spacing w:after="0" w:line="560" w:lineRule="exact"/>
        <w:ind w:left="136" w:firstLine="640" w:firstLineChars="200"/>
        <w:rPr>
          <w:rFonts w:ascii="仿宋" w:hAnsi="仿宋" w:eastAsia="仿宋" w:cs="仿宋"/>
          <w:sz w:val="32"/>
          <w:szCs w:val="32"/>
        </w:rPr>
      </w:pPr>
      <w:r>
        <w:rPr>
          <w:rFonts w:hint="eastAsia" w:ascii="仿宋" w:hAnsi="仿宋" w:eastAsia="仿宋" w:cs="仿宋"/>
          <w:sz w:val="32"/>
          <w:szCs w:val="32"/>
        </w:rPr>
        <w:t>以金融事务专业学生和教师需求为主，应当包括适合金融事务</w:t>
      </w:r>
      <w:r>
        <w:rPr>
          <w:rFonts w:hint="eastAsia" w:ascii="仿宋" w:hAnsi="仿宋" w:eastAsia="仿宋" w:cs="仿宋"/>
          <w:spacing w:val="-5"/>
          <w:sz w:val="32"/>
          <w:szCs w:val="32"/>
        </w:rPr>
        <w:t>专业阅读的各类图书和报刊，供师生使用的工具书、教学参考书和应用型的专业书籍，</w:t>
      </w:r>
      <w:r>
        <w:rPr>
          <w:rFonts w:hint="eastAsia" w:ascii="仿宋" w:hAnsi="仿宋" w:eastAsia="仿宋" w:cs="仿宋"/>
          <w:spacing w:val="-93"/>
          <w:sz w:val="32"/>
          <w:szCs w:val="32"/>
        </w:rPr>
        <w:t xml:space="preserve"> </w:t>
      </w:r>
      <w:r>
        <w:rPr>
          <w:rFonts w:hint="eastAsia" w:ascii="仿宋" w:hAnsi="仿宋" w:eastAsia="仿宋" w:cs="仿宋"/>
          <w:sz w:val="32"/>
          <w:szCs w:val="32"/>
        </w:rPr>
        <w:t>每年要剔旧更新图书。</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3.数字资源配备基本要求</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加快建设智能化教学支持环境，建设能够满足多样化需求的课程资源，创新服务供给模式，服务学生终身学习。包括本专业的教学设计、教学课件、微课程、教学录像、网络课程、</w:t>
      </w:r>
      <w:r>
        <w:rPr>
          <w:rFonts w:hint="eastAsia" w:ascii="仿宋" w:hAnsi="仿宋" w:eastAsia="仿宋" w:cs="仿宋"/>
          <w:sz w:val="32"/>
          <w:szCs w:val="32"/>
        </w:rPr>
        <w:t>教学案例、</w:t>
      </w:r>
      <w:r>
        <w:rPr>
          <w:rFonts w:hint="eastAsia" w:ascii="仿宋" w:hAnsi="仿宋" w:eastAsia="仿宋" w:cs="仿宋"/>
          <w:spacing w:val="-8"/>
          <w:sz w:val="32"/>
          <w:szCs w:val="32"/>
        </w:rPr>
        <w:t>考核方案</w:t>
      </w:r>
      <w:r>
        <w:rPr>
          <w:rFonts w:hint="eastAsia" w:ascii="仿宋" w:hAnsi="仿宋" w:eastAsia="仿宋" w:cs="仿宋"/>
          <w:sz w:val="32"/>
          <w:szCs w:val="32"/>
        </w:rPr>
        <w:t>等。</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（四）教学方法</w:t>
      </w:r>
    </w:p>
    <w:p>
      <w:pPr>
        <w:spacing w:line="560" w:lineRule="exact"/>
        <w:ind w:firstLine="595" w:firstLineChars="196"/>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spacing w:val="-8"/>
          <w:sz w:val="32"/>
          <w:szCs w:val="32"/>
        </w:rPr>
        <w:t>突出职业能力培养，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（五）学习评价</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1.突出职业能力的考核评价方式，体现对综合素质的评价，吸纳更多行业企业和社会有关方面组织参与考核评价。</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2.严格落实培养目标和培养规格要求，加大过程考核、实践技能考核成绩在课程总成绩中的比重。</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3.严格考试纪律，健全多元化考核评价体系，完善学生学习过程监测、评价与反馈机制，引导学生自我管理、主动学习，提高学习效率。</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4.强化实习、实训、毕业设计（论文）等实践性教学环节的全过程管理与考核评价。</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评价过程中应注意以下几点：</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1.结合课堂提问、现场操作、课后作业、模块考核等手段，构建“多形式、多项目”的课程考核标准，加强实践环节的考核，并注重平时采分。</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2.强调理论与实践一体化评价，注重引导学生进行学习方式的改变。</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3.鼓励学生参加省、市、国家级本专业技能比赛，以竞赛组织方级别和获奖等级为依据折合成相关专业课程的成绩。</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4.将学业考核与职业资格证书相结合，允许用职业资格证书替代相关专业的课程成绩。</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（六）质量管理</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1.学校和专业部要建立专业建设和教学过程质量监控机制，健全专业教学质量监控管理制度，通过教学实施、过程监控、质量评价和持续改进，达成人才培养规格。</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学校和专业部要完善教学管理机制，加强日常教学组织运行与管理，建立健全巡课、听课、评教、评学等制度，建立与行业企业联动的实践教学环节督导制度，严明教学纪律，强化教学组织功能。定期开展公开课、示范课等教研活动。</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学校和专业部要完善专业、课程教学工作诊断与改进制度，健全专业教学质量监控和评价机制，及时开展专业调研、人才培养方案更新和教学资源建设工作，加强课堂教学、实习实训、毕业设计等方面质量标准建设，提升教学质量。</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、毕业要求</w:t>
      </w:r>
    </w:p>
    <w:p>
      <w:pPr>
        <w:spacing w:line="560" w:lineRule="exact"/>
        <w:ind w:firstLine="627" w:firstLineChars="196"/>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（一）学生修完本专业人才培养方案所规定的课程并成绩合格，实习期间按时完成实习报告。</w:t>
      </w:r>
    </w:p>
    <w:p>
      <w:pPr>
        <w:spacing w:line="5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（二）按照学校《毕业资格认定办法》，达到本专业人才培养目标和培养规格的要求方可毕业。</w:t>
      </w:r>
    </w:p>
    <w:p>
      <w:pPr>
        <w:widowControl/>
        <w:ind w:firstLine="640" w:firstLineChars="200"/>
        <w:jc w:val="left"/>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、持续专业举例</w:t>
      </w:r>
    </w:p>
    <w:p>
      <w:pPr>
        <w:spacing w:line="5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接续高职专科专业举例：金融服务与管理、金融科技应用等</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 xml:space="preserve"> </w:t>
      </w:r>
    </w:p>
    <w:p>
      <w:pPr>
        <w:ind w:firstLine="640" w:firstLineChars="200"/>
        <w:rPr>
          <w:rFonts w:hint="eastAsia" w:ascii="方正仿宋_GBK" w:hAnsi="方正仿宋_GBK" w:eastAsia="仿宋" w:cs="方正仿宋_GBK"/>
          <w:lang w:eastAsia="zh-CN"/>
        </w:rPr>
      </w:pPr>
      <w:r>
        <w:rPr>
          <w:rFonts w:hint="eastAsia" w:ascii="仿宋" w:hAnsi="仿宋" w:eastAsia="仿宋" w:cs="仿宋"/>
          <w:bCs/>
          <w:color w:val="000000" w:themeColor="text1"/>
          <w:sz w:val="32"/>
          <w:szCs w:val="32"/>
          <w14:textFill>
            <w14:solidFill>
              <w14:schemeClr w14:val="tx1"/>
            </w14:solidFill>
          </w14:textFill>
        </w:rPr>
        <w:t>接续高职本科专业举例：金融管理、金融科技应用等</w:t>
      </w:r>
      <w:r>
        <w:rPr>
          <w:rFonts w:hint="eastAsia" w:ascii="仿宋" w:hAnsi="仿宋" w:eastAsia="仿宋" w:cs="仿宋"/>
          <w:bCs/>
          <w:color w:val="000000" w:themeColor="text1"/>
          <w:sz w:val="32"/>
          <w:szCs w:val="32"/>
          <w:lang w:eastAsia="zh-CN"/>
          <w14:textFill>
            <w14:solidFill>
              <w14:schemeClr w14:val="tx1"/>
            </w14:solidFill>
          </w14:textFill>
        </w:rPr>
        <w:t>。</w:t>
      </w:r>
    </w:p>
    <w:sectPr>
      <w:headerReference r:id="rId3" w:type="default"/>
      <w:footerReference r:id="rId4" w:type="default"/>
      <w:pgSz w:w="11906" w:h="16838"/>
      <w:pgMar w:top="1701" w:right="1587" w:bottom="147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FB7823-EEE2-4F6B-BF67-FFC8AC94F2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7B307BBF-9F61-4904-B019-F69B22D2CB40}"/>
  </w:font>
  <w:font w:name="仿宋">
    <w:panose1 w:val="02010609060101010101"/>
    <w:charset w:val="86"/>
    <w:family w:val="modern"/>
    <w:pitch w:val="default"/>
    <w:sig w:usb0="800002BF" w:usb1="38CF7CFA" w:usb2="00000016" w:usb3="00000000" w:csb0="00040001" w:csb1="00000000"/>
    <w:embedRegular r:id="rId3" w:fontKey="{3D1ABA55-39B4-4940-BB70-4DBD0F2FF9A4}"/>
  </w:font>
  <w:font w:name="方正仿宋_GB2312">
    <w:panose1 w:val="02000000000000000000"/>
    <w:charset w:val="86"/>
    <w:family w:val="auto"/>
    <w:pitch w:val="default"/>
    <w:sig w:usb0="A00002BF" w:usb1="184F6CFA" w:usb2="00000012" w:usb3="00000000" w:csb0="00040001" w:csb1="00000000"/>
    <w:embedRegular r:id="rId4" w:fontKey="{8A99A138-67EE-49B9-BCFC-2936257D8461}"/>
  </w:font>
  <w:font w:name="方正仿宋简体">
    <w:panose1 w:val="02000000000000000000"/>
    <w:charset w:val="86"/>
    <w:family w:val="auto"/>
    <w:pitch w:val="default"/>
    <w:sig w:usb0="A00002BF" w:usb1="184F6CFA" w:usb2="00000012" w:usb3="00000000" w:csb0="00040001" w:csb1="00000000"/>
    <w:embedRegular r:id="rId5" w:fontKey="{7C26E800-2300-4C06-B2F9-1E6AB9A78A6D}"/>
  </w:font>
  <w:font w:name="楷体">
    <w:panose1 w:val="02010609060101010101"/>
    <w:charset w:val="86"/>
    <w:family w:val="modern"/>
    <w:pitch w:val="default"/>
    <w:sig w:usb0="800002BF" w:usb1="38CF7CFA" w:usb2="00000016" w:usb3="00000000" w:csb0="00040001" w:csb1="00000000"/>
    <w:embedRegular r:id="rId6" w:fontKey="{AC17E6B5-FC4C-4964-916C-94042D7EF418}"/>
  </w:font>
  <w:font w:name="仿宋_GB2312">
    <w:panose1 w:val="02010609030101010101"/>
    <w:charset w:val="86"/>
    <w:family w:val="auto"/>
    <w:pitch w:val="default"/>
    <w:sig w:usb0="00000001" w:usb1="080E0000" w:usb2="00000000" w:usb3="00000000" w:csb0="00040000" w:csb1="00000000"/>
    <w:embedRegular r:id="rId7" w:fontKey="{77E38246-8AB4-466B-BE3D-9269EC7FA0DF}"/>
  </w:font>
  <w:font w:name="方正仿宋_GBK">
    <w:panose1 w:val="02000000000000000000"/>
    <w:charset w:val="86"/>
    <w:family w:val="auto"/>
    <w:pitch w:val="default"/>
    <w:sig w:usb0="A00002BF" w:usb1="38CF7CFA" w:usb2="00082016" w:usb3="00000000" w:csb0="00040001" w:csb1="00000000"/>
    <w:embedRegular r:id="rId8" w:fontKey="{D90CE42A-45CF-49F7-B887-F1A1B112626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360" w:lineRule="auto"/>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pPr>
  </w:p>
  <w:p>
    <w:pPr>
      <w:pStyle w:val="8"/>
      <w:pBdr>
        <w:bottom w:val="single" w:color="auto" w:sz="4" w:space="0"/>
      </w:pBdr>
      <w:rPr>
        <w:rFonts w:hint="eastAsia" w:eastAsia="宋体"/>
        <w:lang w:val="en-US" w:eastAsia="zh-CN"/>
      </w:rPr>
    </w:pPr>
    <w:r>
      <w:rPr>
        <w:rFonts w:hint="eastAsia"/>
        <w:lang w:val="en-US" w:eastAsia="zh-CN"/>
      </w:rPr>
      <w:t xml:space="preserve">                                                                             石家庄财经商贸学校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0C7C2"/>
    <w:multiLevelType w:val="singleLevel"/>
    <w:tmpl w:val="2210C7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ZWM5YTNhOTBkZDJjYmU0OTE3YTEwOTUyMGU5OTQifQ=="/>
  </w:docVars>
  <w:rsids>
    <w:rsidRoot w:val="00000000"/>
    <w:rsid w:val="001D0E7F"/>
    <w:rsid w:val="00AE4E5E"/>
    <w:rsid w:val="01E814E1"/>
    <w:rsid w:val="05B2719F"/>
    <w:rsid w:val="06873E73"/>
    <w:rsid w:val="07D95F2B"/>
    <w:rsid w:val="07F933E3"/>
    <w:rsid w:val="084D31AF"/>
    <w:rsid w:val="0B2D1793"/>
    <w:rsid w:val="0E547045"/>
    <w:rsid w:val="0F6C236E"/>
    <w:rsid w:val="10DF11BD"/>
    <w:rsid w:val="10FB40F0"/>
    <w:rsid w:val="12597320"/>
    <w:rsid w:val="13555C03"/>
    <w:rsid w:val="13C837DE"/>
    <w:rsid w:val="14D83845"/>
    <w:rsid w:val="15EC04AB"/>
    <w:rsid w:val="16451822"/>
    <w:rsid w:val="16C501DF"/>
    <w:rsid w:val="194F2D26"/>
    <w:rsid w:val="19A61ECC"/>
    <w:rsid w:val="19B9722B"/>
    <w:rsid w:val="19C534ED"/>
    <w:rsid w:val="1BC03F6C"/>
    <w:rsid w:val="1C832374"/>
    <w:rsid w:val="1D595397"/>
    <w:rsid w:val="20CB0D37"/>
    <w:rsid w:val="220A16D9"/>
    <w:rsid w:val="222A0391"/>
    <w:rsid w:val="22B86F2D"/>
    <w:rsid w:val="22D862F2"/>
    <w:rsid w:val="241F7350"/>
    <w:rsid w:val="26F176CF"/>
    <w:rsid w:val="26F750A4"/>
    <w:rsid w:val="28AD2CB5"/>
    <w:rsid w:val="297451AF"/>
    <w:rsid w:val="2996455E"/>
    <w:rsid w:val="2A8D1067"/>
    <w:rsid w:val="2B376ABD"/>
    <w:rsid w:val="2BB32628"/>
    <w:rsid w:val="2C212804"/>
    <w:rsid w:val="2D5E35E4"/>
    <w:rsid w:val="2EBA25BC"/>
    <w:rsid w:val="2FD7142C"/>
    <w:rsid w:val="309D2D46"/>
    <w:rsid w:val="30BE7655"/>
    <w:rsid w:val="31FF50EE"/>
    <w:rsid w:val="32313075"/>
    <w:rsid w:val="35132F06"/>
    <w:rsid w:val="359E36CF"/>
    <w:rsid w:val="36377201"/>
    <w:rsid w:val="364E4C37"/>
    <w:rsid w:val="36A209E6"/>
    <w:rsid w:val="37DA6A84"/>
    <w:rsid w:val="38296538"/>
    <w:rsid w:val="38597E75"/>
    <w:rsid w:val="3CA418A1"/>
    <w:rsid w:val="3D483969"/>
    <w:rsid w:val="3FC0434B"/>
    <w:rsid w:val="40B20716"/>
    <w:rsid w:val="41126768"/>
    <w:rsid w:val="416B7C26"/>
    <w:rsid w:val="42F51F3D"/>
    <w:rsid w:val="43B412F8"/>
    <w:rsid w:val="44DC50C3"/>
    <w:rsid w:val="44E328F5"/>
    <w:rsid w:val="45006AF2"/>
    <w:rsid w:val="451B7BC4"/>
    <w:rsid w:val="45771738"/>
    <w:rsid w:val="47AB54DE"/>
    <w:rsid w:val="499A554C"/>
    <w:rsid w:val="49D539F0"/>
    <w:rsid w:val="4AA62AD1"/>
    <w:rsid w:val="4BD72A88"/>
    <w:rsid w:val="4C8B49F4"/>
    <w:rsid w:val="4E600FED"/>
    <w:rsid w:val="4EE35FF1"/>
    <w:rsid w:val="4F781E8C"/>
    <w:rsid w:val="51BA297E"/>
    <w:rsid w:val="5268268C"/>
    <w:rsid w:val="55077FE2"/>
    <w:rsid w:val="552D43DC"/>
    <w:rsid w:val="576176AA"/>
    <w:rsid w:val="59123351"/>
    <w:rsid w:val="59246BE1"/>
    <w:rsid w:val="5D795026"/>
    <w:rsid w:val="5DCA4884"/>
    <w:rsid w:val="5EB20BE1"/>
    <w:rsid w:val="60917251"/>
    <w:rsid w:val="60A23F07"/>
    <w:rsid w:val="637A327E"/>
    <w:rsid w:val="64966BE4"/>
    <w:rsid w:val="65370417"/>
    <w:rsid w:val="657F3D33"/>
    <w:rsid w:val="67DE6CE3"/>
    <w:rsid w:val="6A793230"/>
    <w:rsid w:val="6B6C4A3B"/>
    <w:rsid w:val="6C811AC4"/>
    <w:rsid w:val="6D1062FD"/>
    <w:rsid w:val="6D875C64"/>
    <w:rsid w:val="6F4F7F7A"/>
    <w:rsid w:val="6F6D537B"/>
    <w:rsid w:val="6F8E59A3"/>
    <w:rsid w:val="70E03832"/>
    <w:rsid w:val="715B3533"/>
    <w:rsid w:val="72932B9F"/>
    <w:rsid w:val="75AC119F"/>
    <w:rsid w:val="779626AA"/>
    <w:rsid w:val="786936EA"/>
    <w:rsid w:val="7AAB28C0"/>
    <w:rsid w:val="7BF003F6"/>
    <w:rsid w:val="7CE3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pPr>
    <w:rPr>
      <w:rFonts w:asciiTheme="majorHAnsi" w:hAnsiTheme="majorHAnsi" w:cstheme="majorBidi"/>
      <w:sz w:val="24"/>
    </w:rPr>
  </w:style>
  <w:style w:type="paragraph" w:styleId="4">
    <w:name w:val="Body Text"/>
    <w:basedOn w:val="1"/>
    <w:autoRedefine/>
    <w:unhideWhenUsed/>
    <w:qFormat/>
    <w:uiPriority w:val="1"/>
    <w:pPr>
      <w:spacing w:after="120"/>
    </w:pPr>
  </w:style>
  <w:style w:type="paragraph" w:styleId="5">
    <w:name w:val="Body Text Indent"/>
    <w:basedOn w:val="1"/>
    <w:autoRedefine/>
    <w:qFormat/>
    <w:uiPriority w:val="0"/>
    <w:pPr>
      <w:widowControl/>
      <w:spacing w:line="360" w:lineRule="auto"/>
      <w:ind w:firstLine="360" w:firstLineChars="150"/>
      <w:jc w:val="left"/>
    </w:pPr>
    <w:rPr>
      <w:rFonts w:ascii="宋体" w:hAnsi="宋体"/>
      <w:kern w:val="0"/>
      <w:sz w:val="24"/>
      <w:szCs w:val="20"/>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10">
    <w:name w:val="Title"/>
    <w:basedOn w:val="1"/>
    <w:next w:val="1"/>
    <w:autoRedefine/>
    <w:qFormat/>
    <w:uiPriority w:val="0"/>
    <w:pPr>
      <w:spacing w:before="240" w:after="60"/>
      <w:jc w:val="center"/>
      <w:outlineLvl w:val="0"/>
    </w:pPr>
    <w:rPr>
      <w:rFonts w:ascii="Calibri Light" w:hAnsi="Calibri Light" w:eastAsia="宋体" w:cs="Times New Roman"/>
      <w:b/>
      <w:bCs/>
      <w:sz w:val="32"/>
      <w:szCs w:val="32"/>
    </w:rPr>
  </w:style>
  <w:style w:type="paragraph" w:styleId="11">
    <w:name w:val="Body Text First Indent 2"/>
    <w:basedOn w:val="5"/>
    <w:autoRedefine/>
    <w:qFormat/>
    <w:uiPriority w:val="0"/>
    <w:pPr>
      <w:widowControl w:val="0"/>
      <w:spacing w:after="120" w:afterLines="0" w:line="240" w:lineRule="auto"/>
      <w:ind w:left="420" w:leftChars="200" w:firstLine="420" w:firstLineChars="200"/>
      <w:jc w:val="both"/>
    </w:pPr>
    <w:rPr>
      <w:kern w:val="2"/>
      <w:sz w:val="21"/>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character" w:styleId="16">
    <w:name w:val="page number"/>
    <w:basedOn w:val="14"/>
    <w:autoRedefine/>
    <w:qFormat/>
    <w:uiPriority w:val="0"/>
  </w:style>
  <w:style w:type="character" w:customStyle="1" w:styleId="17">
    <w:name w:val="font31"/>
    <w:basedOn w:val="14"/>
    <w:autoRedefine/>
    <w:qFormat/>
    <w:uiPriority w:val="0"/>
    <w:rPr>
      <w:rFonts w:hint="eastAsia" w:ascii="宋体" w:hAnsi="宋体" w:eastAsia="宋体" w:cs="宋体"/>
      <w:color w:val="000000"/>
      <w:sz w:val="22"/>
      <w:szCs w:val="22"/>
      <w:u w:val="none"/>
    </w:rPr>
  </w:style>
  <w:style w:type="character" w:customStyle="1" w:styleId="18">
    <w:name w:val="font21"/>
    <w:basedOn w:val="14"/>
    <w:autoRedefine/>
    <w:qFormat/>
    <w:uiPriority w:val="0"/>
    <w:rPr>
      <w:rFonts w:ascii="Calibri" w:hAnsi="Calibri" w:cs="Calibri"/>
      <w:color w:val="000000"/>
      <w:sz w:val="22"/>
      <w:szCs w:val="22"/>
      <w:u w:val="none"/>
    </w:rPr>
  </w:style>
  <w:style w:type="character" w:customStyle="1" w:styleId="19">
    <w:name w:val="font41"/>
    <w:basedOn w:val="14"/>
    <w:autoRedefine/>
    <w:qFormat/>
    <w:uiPriority w:val="0"/>
    <w:rPr>
      <w:rFonts w:hint="eastAsia" w:ascii="宋体" w:hAnsi="宋体" w:eastAsia="宋体" w:cs="宋体"/>
      <w:color w:val="000000"/>
      <w:sz w:val="30"/>
      <w:szCs w:val="30"/>
      <w:u w:val="none"/>
    </w:rPr>
  </w:style>
  <w:style w:type="character" w:customStyle="1" w:styleId="20">
    <w:name w:val="NormalCharacter"/>
    <w:autoRedefine/>
    <w:semiHidden/>
    <w:qFormat/>
    <w:uiPriority w:val="0"/>
    <w:rPr>
      <w:rFonts w:ascii="Calibri" w:hAnsi="Calibri" w:eastAsia="宋体" w:cs="Times New Roman"/>
      <w:kern w:val="2"/>
      <w:sz w:val="21"/>
      <w:szCs w:val="22"/>
      <w:lang w:val="en-US" w:eastAsia="zh-CN"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20953</Words>
  <Characters>21950</Characters>
  <Lines>0</Lines>
  <Paragraphs>0</Paragraphs>
  <TotalTime>3</TotalTime>
  <ScaleCrop>false</ScaleCrop>
  <LinksUpToDate>false</LinksUpToDate>
  <CharactersWithSpaces>22193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2023-03-09T13:19:00Z</dcterms:created>
  <dc:creator>hi</dc:creator>
  <cp:lastModifiedBy>payson</cp:lastModifiedBy>
  <dcterms:modified xsi:type="dcterms:W3CDTF">2024-01-23T14:42:44Z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4104A8CD4077433CB10558395578214F</vt:lpwstr>
  </property>
</Properties>
</file>