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ind w:firstLine="880" w:firstLineChars="200"/>
        <w:jc w:val="center"/>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Toc13783"/>
      <w:bookmarkStart w:id="1" w:name="_Toc10769"/>
      <w:bookmarkStart w:id="2" w:name="_Toc398"/>
      <w:bookmarkStart w:id="3" w:name="_Toc11597"/>
      <w:bookmarkStart w:id="4" w:name="_Toc21624"/>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石家庄财经商贸学校</w:t>
      </w:r>
    </w:p>
    <w:p>
      <w:pPr>
        <w:spacing w:after="156" w:afterLines="50" w:line="560" w:lineRule="exact"/>
        <w:ind w:firstLine="880" w:firstLineChars="200"/>
        <w:jc w:val="center"/>
        <w:outlineLvl w:val="0"/>
        <w:rPr>
          <w:rFonts w:hint="eastAsia" w:ascii="黑体" w:hAnsi="黑体" w:eastAsia="黑体" w:cs="黑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23级计算机网络技术</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专业人才培养方案</w:t>
      </w:r>
      <w:bookmarkEnd w:id="0"/>
      <w:bookmarkEnd w:id="1"/>
      <w:bookmarkEnd w:id="2"/>
      <w:bookmarkEnd w:id="3"/>
      <w:bookmarkEnd w:id="4"/>
    </w:p>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5" w:name="_Toc21600"/>
      <w:bookmarkStart w:id="6" w:name="_Toc18664"/>
      <w:r>
        <w:rPr>
          <w:rFonts w:hint="eastAsia" w:ascii="黑体" w:hAnsi="黑体" w:eastAsia="黑体" w:cs="黑体"/>
          <w:color w:val="000000" w:themeColor="text1"/>
          <w:sz w:val="32"/>
          <w:szCs w:val="32"/>
          <w14:textFill>
            <w14:solidFill>
              <w14:schemeClr w14:val="tx1"/>
            </w14:solidFill>
          </w14:textFill>
        </w:rPr>
        <w:t>一、专业名称及代码</w:t>
      </w:r>
      <w:bookmarkEnd w:id="5"/>
      <w:bookmarkEnd w:id="6"/>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专业名称：</w:t>
      </w:r>
      <w:r>
        <w:rPr>
          <w:rFonts w:hint="eastAsia" w:ascii="仿宋" w:hAnsi="仿宋" w:eastAsia="仿宋" w:cs="仿宋"/>
          <w:bCs/>
          <w:color w:val="000000" w:themeColor="text1"/>
          <w:sz w:val="32"/>
          <w:szCs w:val="32"/>
          <w:lang w:val="en-US" w:eastAsia="zh-CN"/>
          <w14:textFill>
            <w14:solidFill>
              <w14:schemeClr w14:val="tx1"/>
            </w14:solidFill>
          </w14:textFill>
        </w:rPr>
        <w:t>计算机网络技术</w:t>
      </w:r>
    </w:p>
    <w:p>
      <w:pPr>
        <w:keepNext w:val="0"/>
        <w:keepLines w:val="0"/>
        <w:widowControl/>
        <w:suppressLineNumbers w:val="0"/>
        <w:ind w:firstLine="640"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专业代码：</w:t>
      </w:r>
      <w:r>
        <w:rPr>
          <w:rFonts w:hint="default" w:ascii="仿宋" w:hAnsi="仿宋" w:eastAsia="仿宋" w:cs="仿宋"/>
          <w:bCs/>
          <w:color w:val="000000" w:themeColor="text1"/>
          <w:sz w:val="32"/>
          <w:szCs w:val="32"/>
          <w:lang w:val="en-US" w:eastAsia="zh-CN"/>
          <w14:textFill>
            <w14:solidFill>
              <w14:schemeClr w14:val="tx1"/>
            </w14:solidFill>
          </w14:textFill>
        </w:rPr>
        <w:t>710202</w:t>
      </w:r>
    </w:p>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7" w:name="_Toc30546"/>
      <w:bookmarkStart w:id="8" w:name="_Toc9277"/>
      <w:r>
        <w:rPr>
          <w:rFonts w:hint="eastAsia" w:ascii="黑体" w:hAnsi="黑体" w:eastAsia="黑体" w:cs="黑体"/>
          <w:color w:val="000000" w:themeColor="text1"/>
          <w:sz w:val="32"/>
          <w:szCs w:val="32"/>
          <w14:textFill>
            <w14:solidFill>
              <w14:schemeClr w14:val="tx1"/>
            </w14:solidFill>
          </w14:textFill>
        </w:rPr>
        <w:t>二、入学要求</w:t>
      </w:r>
      <w:bookmarkEnd w:id="7"/>
      <w:bookmarkEnd w:id="8"/>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本专业招收</w:t>
      </w:r>
      <w:r>
        <w:rPr>
          <w:rFonts w:hint="eastAsia" w:ascii="仿宋" w:hAnsi="仿宋" w:eastAsia="仿宋" w:cs="仿宋"/>
          <w:color w:val="000000" w:themeColor="text1"/>
          <w:sz w:val="32"/>
          <w:szCs w:val="32"/>
          <w14:textFill>
            <w14:solidFill>
              <w14:schemeClr w14:val="tx1"/>
            </w14:solidFill>
          </w14:textFill>
        </w:rPr>
        <w:t>初中毕业生或具有同等学力者</w:t>
      </w:r>
      <w:r>
        <w:rPr>
          <w:rFonts w:hint="eastAsia" w:ascii="仿宋" w:hAnsi="仿宋" w:eastAsia="仿宋" w:cs="仿宋"/>
          <w:color w:val="000000" w:themeColor="text1"/>
          <w:sz w:val="32"/>
          <w:szCs w:val="32"/>
          <w:lang w:eastAsia="zh-CN"/>
          <w14:textFill>
            <w14:solidFill>
              <w14:schemeClr w14:val="tx1"/>
            </w14:solidFill>
          </w14:textFill>
        </w:rPr>
        <w:t>。</w:t>
      </w:r>
    </w:p>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9" w:name="_Toc31958"/>
      <w:bookmarkStart w:id="10" w:name="_Toc20511"/>
      <w:r>
        <w:rPr>
          <w:rFonts w:hint="eastAsia" w:ascii="黑体" w:hAnsi="黑体" w:eastAsia="黑体" w:cs="黑体"/>
          <w:color w:val="000000" w:themeColor="text1"/>
          <w:sz w:val="32"/>
          <w:szCs w:val="32"/>
          <w14:textFill>
            <w14:solidFill>
              <w14:schemeClr w14:val="tx1"/>
            </w14:solidFill>
          </w14:textFill>
        </w:rPr>
        <w:t>三、修业年限</w:t>
      </w:r>
      <w:bookmarkEnd w:id="9"/>
      <w:bookmarkEnd w:id="10"/>
    </w:p>
    <w:p>
      <w:pPr>
        <w:spacing w:line="56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年</w:t>
      </w:r>
    </w:p>
    <w:p>
      <w:pPr>
        <w:spacing w:line="560" w:lineRule="exact"/>
        <w:ind w:firstLine="640" w:firstLineChars="200"/>
        <w:jc w:val="left"/>
        <w:outlineLvl w:val="0"/>
        <w:rPr>
          <w:rFonts w:hint="eastAsia" w:ascii="黑体" w:hAnsi="黑体" w:eastAsia="黑体" w:cs="黑体"/>
          <w:color w:val="000000" w:themeColor="text1"/>
          <w:sz w:val="32"/>
          <w:szCs w:val="32"/>
          <w14:textFill>
            <w14:solidFill>
              <w14:schemeClr w14:val="tx1"/>
            </w14:solidFill>
          </w14:textFill>
        </w:rPr>
      </w:pPr>
      <w:bookmarkStart w:id="11" w:name="_Toc23741"/>
      <w:bookmarkStart w:id="12" w:name="_Toc15542"/>
      <w:r>
        <w:rPr>
          <w:rFonts w:hint="eastAsia" w:ascii="黑体" w:hAnsi="黑体" w:eastAsia="黑体" w:cs="黑体"/>
          <w:color w:val="000000" w:themeColor="text1"/>
          <w:sz w:val="32"/>
          <w:szCs w:val="32"/>
          <w14:textFill>
            <w14:solidFill>
              <w14:schemeClr w14:val="tx1"/>
            </w14:solidFill>
          </w14:textFill>
        </w:rPr>
        <w:t>四、职业面向</w:t>
      </w:r>
      <w:bookmarkEnd w:id="11"/>
      <w:bookmarkEnd w:id="12"/>
    </w:p>
    <w:p>
      <w:pPr>
        <w:spacing w:line="56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计算机网络技术专业职业面向分析表见表1-1。</w:t>
      </w:r>
    </w:p>
    <w:p>
      <w:pPr>
        <w:spacing w:line="560" w:lineRule="exact"/>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表1-1           计算机网络技术专业职业面向分析表</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所属专业大类</w:t>
            </w:r>
          </w:p>
        </w:tc>
        <w:tc>
          <w:tcPr>
            <w:tcW w:w="7337" w:type="dxa"/>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default" w:ascii="仿宋" w:hAnsi="仿宋" w:eastAsia="仿宋" w:cs="仿宋"/>
                <w:bCs/>
                <w:color w:val="000000" w:themeColor="text1"/>
                <w:kern w:val="0"/>
                <w:sz w:val="24"/>
                <w:szCs w:val="24"/>
                <w:lang w:val="en-US" w:eastAsia="zh-CN"/>
                <w14:textFill>
                  <w14:solidFill>
                    <w14:schemeClr w14:val="tx1"/>
                  </w14:solidFill>
                </w14:textFill>
              </w:rPr>
              <w:t xml:space="preserve">71 </w:t>
            </w:r>
            <w:r>
              <w:rPr>
                <w:rFonts w:hint="eastAsia" w:ascii="仿宋" w:hAnsi="仿宋" w:eastAsia="仿宋" w:cs="仿宋"/>
                <w:bCs/>
                <w:color w:val="000000" w:themeColor="text1"/>
                <w:kern w:val="0"/>
                <w:sz w:val="24"/>
                <w:szCs w:val="24"/>
                <w:lang w:val="en-US" w:eastAsia="zh-CN"/>
                <w14:textFill>
                  <w14:solidFill>
                    <w14:schemeClr w14:val="tx1"/>
                  </w14:solidFill>
                </w14:textFill>
              </w:rPr>
              <w:t>电子与信息大类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所属专业类</w:t>
            </w:r>
          </w:p>
        </w:tc>
        <w:tc>
          <w:tcPr>
            <w:tcW w:w="7337"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7102计算机</w:t>
            </w:r>
            <w:r>
              <w:rPr>
                <w:rFonts w:hint="eastAsia" w:ascii="仿宋" w:hAnsi="仿宋" w:eastAsia="仿宋" w:cs="仿宋"/>
                <w:bCs/>
                <w:color w:val="000000" w:themeColor="text1"/>
                <w:kern w:val="0"/>
                <w:sz w:val="24"/>
                <w:szCs w:val="24"/>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主要</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类别</w:t>
            </w:r>
          </w:p>
        </w:tc>
        <w:tc>
          <w:tcPr>
            <w:tcW w:w="7337" w:type="dxa"/>
            <w:vAlign w:val="center"/>
          </w:tcPr>
          <w:p>
            <w:pPr>
              <w:keepNext w:val="0"/>
              <w:keepLines w:val="0"/>
              <w:widowControl/>
              <w:suppressLineNumbers w:val="0"/>
              <w:jc w:val="lef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计算机网络工程技术人员（2-02-10-04）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主要岗位（群）</w:t>
            </w:r>
          </w:p>
        </w:tc>
        <w:tc>
          <w:tcPr>
            <w:tcW w:w="7337"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面向信息和通信工程技术、信息通信网络维护、信息通信网络运行管理、计算机和办公设备维修等职业，网络产品服务与营销、网络部署与系统集成、网络管理与维护、网站运行与维护等技术领域。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职业资格</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技能证书</w:t>
            </w:r>
            <w:r>
              <w:rPr>
                <w:rFonts w:hint="eastAsia" w:ascii="仿宋" w:hAnsi="仿宋" w:eastAsia="仿宋" w:cs="仿宋"/>
                <w:bCs/>
                <w:color w:val="000000" w:themeColor="text1"/>
                <w:kern w:val="0"/>
                <w:sz w:val="24"/>
                <w:szCs w:val="24"/>
                <w:lang w:val="en-US" w:eastAsia="zh-CN"/>
                <w14:textFill>
                  <w14:solidFill>
                    <w14:schemeClr w14:val="tx1"/>
                  </w14:solidFill>
                </w14:textFill>
              </w:rPr>
              <w:t>举例</w:t>
            </w:r>
          </w:p>
        </w:tc>
        <w:tc>
          <w:tcPr>
            <w:tcW w:w="7337"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计算机等级证书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一级</w:t>
            </w:r>
            <w:r>
              <w:rPr>
                <w:rFonts w:hint="eastAsia" w:ascii="仿宋" w:hAnsi="仿宋" w:eastAsia="仿宋" w:cs="仿宋"/>
                <w:color w:val="000000" w:themeColor="text1"/>
                <w:sz w:val="24"/>
                <w:szCs w:val="24"/>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bookmarkStart w:id="13" w:name="_Toc7422"/>
            <w:bookmarkStart w:id="14" w:name="_Toc29405"/>
            <w:bookmarkStart w:id="15" w:name="_Toc30533"/>
            <w:bookmarkStart w:id="16" w:name="_Toc14137"/>
            <w:r>
              <w:rPr>
                <w:rFonts w:hint="eastAsia" w:ascii="仿宋" w:hAnsi="仿宋" w:eastAsia="仿宋" w:cs="仿宋"/>
                <w:color w:val="000000" w:themeColor="text1"/>
                <w:sz w:val="24"/>
                <w:szCs w:val="24"/>
                <w14:textFill>
                  <w14:solidFill>
                    <w14:schemeClr w14:val="tx1"/>
                  </w14:solidFill>
                </w14:textFill>
              </w:rPr>
              <w:t>计算机等级证书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二级</w:t>
            </w:r>
            <w:r>
              <w:rPr>
                <w:rFonts w:hint="eastAsia" w:ascii="仿宋" w:hAnsi="仿宋" w:eastAsia="仿宋" w:cs="仿宋"/>
                <w:color w:val="000000" w:themeColor="text1"/>
                <w:sz w:val="24"/>
                <w:szCs w:val="24"/>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普通话证书</w:t>
            </w:r>
            <w:bookmarkEnd w:id="13"/>
            <w:bookmarkEnd w:id="14"/>
            <w:bookmarkEnd w:id="15"/>
            <w:bookmarkEnd w:id="16"/>
          </w:p>
        </w:tc>
      </w:tr>
    </w:tbl>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17" w:name="_Toc12049"/>
      <w:bookmarkStart w:id="18" w:name="_Toc4171"/>
      <w:r>
        <w:rPr>
          <w:rFonts w:hint="eastAsia" w:ascii="黑体" w:hAnsi="黑体" w:eastAsia="黑体" w:cs="黑体"/>
          <w:color w:val="000000" w:themeColor="text1"/>
          <w:sz w:val="32"/>
          <w:szCs w:val="32"/>
          <w14:textFill>
            <w14:solidFill>
              <w14:schemeClr w14:val="tx1"/>
            </w14:solidFill>
          </w14:textFill>
        </w:rPr>
        <w:t>五、培养目标</w:t>
      </w:r>
      <w:bookmarkEnd w:id="17"/>
      <w:bookmarkEnd w:id="18"/>
    </w:p>
    <w:p>
      <w:pPr>
        <w:spacing w:line="560" w:lineRule="exact"/>
        <w:ind w:firstLine="640"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本专业培养</w:t>
      </w:r>
      <w:r>
        <w:rPr>
          <w:rFonts w:hint="eastAsia" w:ascii="仿宋" w:hAnsi="仿宋" w:eastAsia="仿宋" w:cs="仿宋"/>
          <w:bCs/>
          <w:color w:val="000000" w:themeColor="text1"/>
          <w:sz w:val="32"/>
          <w:szCs w:val="32"/>
          <w:lang w:val="en-US" w:eastAsia="zh-CN"/>
          <w14:textFill>
            <w14:solidFill>
              <w14:schemeClr w14:val="tx1"/>
            </w14:solidFill>
          </w14:textFill>
        </w:rPr>
        <w:t>培养德智体美劳全面发展，掌握扎实的科学文化基础和网络规划、网络技术、程序设计等知识，具备网络搭建、管理维护、网站运维等能力，具有工匠精神和信息素养，能够从事网络产品销售、网络基础环境搭建、网络服务系统部署、网络系统管理维护、网站运行维护等工作的技术技能人才。</w:t>
      </w:r>
      <w:r>
        <w:rPr>
          <w:rFonts w:hint="eastAsia" w:ascii="仿宋" w:hAnsi="仿宋" w:eastAsia="仿宋" w:cs="仿宋"/>
          <w:bCs/>
          <w:color w:val="000000" w:themeColor="text1"/>
          <w:sz w:val="32"/>
          <w:szCs w:val="32"/>
          <w14:textFill>
            <w14:solidFill>
              <w14:schemeClr w14:val="tx1"/>
            </w14:solidFill>
          </w14:textFill>
        </w:rPr>
        <w:t xml:space="preserve"> </w:t>
      </w:r>
    </w:p>
    <w:p>
      <w:pPr>
        <w:spacing w:line="560" w:lineRule="exact"/>
        <w:ind w:firstLine="640" w:firstLineChars="200"/>
        <w:jc w:val="left"/>
        <w:outlineLvl w:val="0"/>
        <w:rPr>
          <w:rFonts w:hint="eastAsia" w:ascii="楷体" w:hAnsi="楷体" w:eastAsia="楷体" w:cs="楷体"/>
          <w:color w:val="000000" w:themeColor="text1"/>
          <w:sz w:val="32"/>
          <w:szCs w:val="32"/>
          <w14:textFill>
            <w14:solidFill>
              <w14:schemeClr w14:val="tx1"/>
            </w14:solidFill>
          </w14:textFill>
        </w:rPr>
      </w:pPr>
      <w:bookmarkStart w:id="19" w:name="_Toc1409"/>
      <w:bookmarkStart w:id="20" w:name="_Toc4434"/>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、培养规格</w:t>
      </w:r>
      <w:bookmarkEnd w:id="19"/>
      <w:bookmarkEnd w:id="20"/>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21" w:name="_Toc28457"/>
      <w:bookmarkStart w:id="22" w:name="_Toc13629"/>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一</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素质</w:t>
      </w:r>
      <w:bookmarkEnd w:id="21"/>
      <w:bookmarkEnd w:id="22"/>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1.践行社会主义核心价值观，具有深厚的爱国情感和中华民族自豪感</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640"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2.崇尚宪法、遵法守纪、崇德向善、诚实守信、尊重生命、热爱劳动，履行道德准则和行为规范，具有社会责任感和社会参与意识;</w:t>
      </w:r>
    </w:p>
    <w:p>
      <w:pPr>
        <w:spacing w:line="560" w:lineRule="exact"/>
        <w:ind w:firstLine="640"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爱岗敬业，诚实守信，廉洁自律，坚持准则，具有严谨细致、客观公正的职业精神和强化服务、参与管理的职业意识；</w:t>
      </w:r>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具有质量意识、环保意识、安全意识、信息素养、工匠精神、创新思维</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lang w:eastAsia="zh-CN"/>
          <w14:textFill>
            <w14:solidFill>
              <w14:schemeClr w14:val="tx1"/>
            </w14:solidFill>
          </w14:textFill>
        </w:rPr>
        <w:t>.具有坚韧不拔的毅力、积极乐观的态度、良好的人际关系、健全的人格品质，</w:t>
      </w:r>
      <w:r>
        <w:rPr>
          <w:rFonts w:hint="eastAsia" w:ascii="仿宋" w:hAnsi="仿宋" w:eastAsia="仿宋" w:cs="仿宋"/>
          <w:bCs/>
          <w:color w:val="000000" w:themeColor="text1"/>
          <w:sz w:val="32"/>
          <w:szCs w:val="32"/>
          <w14:textFill>
            <w14:solidFill>
              <w14:schemeClr w14:val="tx1"/>
            </w14:solidFill>
          </w14:textFill>
        </w:rPr>
        <w:t>有较强的团队合作精神</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bookmarkStart w:id="23" w:name="_Toc29304"/>
      <w:bookmarkStart w:id="24" w:name="_Toc31658"/>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）知识</w:t>
      </w:r>
      <w:bookmarkEnd w:id="23"/>
      <w:bookmarkEnd w:id="24"/>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bookmarkStart w:id="25" w:name="_Toc23620"/>
      <w:bookmarkStart w:id="26" w:name="_Toc21028"/>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lang w:val="zh-CN" w:eastAsia="zh-CN"/>
          <w14:textFill>
            <w14:solidFill>
              <w14:schemeClr w14:val="tx1"/>
            </w14:solidFill>
          </w14:textFill>
        </w:rPr>
        <w:t>了解计算机网络技术的前沿知识和发展动向，了解信息安全技术在各种系统上的设计与应用；</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lang w:val="zh-CN" w:eastAsia="zh-CN"/>
          <w14:textFill>
            <w14:solidFill>
              <w14:schemeClr w14:val="tx1"/>
            </w14:solidFill>
          </w14:textFill>
        </w:rPr>
        <w:t>掌握制作并维护网页的前台界面设计和后台程序开发的</w:t>
      </w:r>
      <w:r>
        <w:rPr>
          <w:rFonts w:hint="eastAsia" w:ascii="仿宋" w:hAnsi="仿宋" w:eastAsia="仿宋" w:cs="仿宋"/>
          <w:bCs/>
          <w:color w:val="000000" w:themeColor="text1"/>
          <w:sz w:val="32"/>
          <w:szCs w:val="32"/>
          <w:lang w:val="en-US" w:eastAsia="zh-CN"/>
          <w14:textFill>
            <w14:solidFill>
              <w14:schemeClr w14:val="tx1"/>
            </w14:solidFill>
          </w14:textFill>
        </w:rPr>
        <w:t>方法；</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lang w:val="zh-CN" w:eastAsia="zh-CN"/>
          <w14:textFill>
            <w14:solidFill>
              <w14:schemeClr w14:val="tx1"/>
            </w14:solidFill>
          </w14:textFill>
        </w:rPr>
        <w:t>掌握网络布线的流程、方法和标准；</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val="zh-CN" w:eastAsia="zh-CN"/>
          <w14:textFill>
            <w14:solidFill>
              <w14:schemeClr w14:val="tx1"/>
            </w14:solidFill>
          </w14:textFill>
        </w:rPr>
        <w:t>掌握网络设备的工作原理及配置方法；</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lang w:val="zh-CN" w:eastAsia="zh-CN"/>
          <w14:textFill>
            <w14:solidFill>
              <w14:schemeClr w14:val="tx1"/>
            </w14:solidFill>
          </w14:textFill>
        </w:rPr>
        <w:t>掌握网络操作系统的管理与配置方法。</w:t>
      </w:r>
    </w:p>
    <w:p>
      <w:pPr>
        <w:spacing w:line="560" w:lineRule="exact"/>
        <w:ind w:firstLine="643" w:firstLineChars="200"/>
        <w:jc w:val="left"/>
        <w:rPr>
          <w:rFonts w:hint="eastAsia" w:ascii="楷体" w:hAnsi="楷体" w:eastAsia="楷体" w:cs="楷体"/>
          <w:b/>
          <w:bCs w:val="0"/>
          <w:color w:val="000000" w:themeColor="text1"/>
          <w:sz w:val="32"/>
          <w:szCs w:val="32"/>
          <w14:textFill>
            <w14:solidFill>
              <w14:schemeClr w14:val="tx1"/>
            </w14:solidFill>
          </w14:textFill>
        </w:rPr>
      </w:pPr>
      <w:r>
        <w:rPr>
          <w:rFonts w:hint="eastAsia" w:ascii="楷体" w:hAnsi="楷体" w:eastAsia="楷体" w:cs="楷体"/>
          <w:b/>
          <w:bCs w:val="0"/>
          <w:color w:val="000000" w:themeColor="text1"/>
          <w:sz w:val="32"/>
          <w:szCs w:val="32"/>
          <w:lang w:eastAsia="zh-CN"/>
          <w14:textFill>
            <w14:solidFill>
              <w14:schemeClr w14:val="tx1"/>
            </w14:solidFill>
          </w14:textFill>
        </w:rPr>
        <w:t>（</w:t>
      </w:r>
      <w:r>
        <w:rPr>
          <w:rFonts w:hint="eastAsia" w:ascii="楷体" w:hAnsi="楷体" w:eastAsia="楷体" w:cs="楷体"/>
          <w:b/>
          <w:bCs w:val="0"/>
          <w:color w:val="000000" w:themeColor="text1"/>
          <w:sz w:val="32"/>
          <w:szCs w:val="32"/>
          <w:lang w:val="en-US" w:eastAsia="zh-CN"/>
          <w14:textFill>
            <w14:solidFill>
              <w14:schemeClr w14:val="tx1"/>
            </w14:solidFill>
          </w14:textFill>
        </w:rPr>
        <w:t>三</w:t>
      </w:r>
      <w:r>
        <w:rPr>
          <w:rFonts w:hint="eastAsia" w:ascii="楷体" w:hAnsi="楷体" w:eastAsia="楷体" w:cs="楷体"/>
          <w:b/>
          <w:bCs w:val="0"/>
          <w:color w:val="000000" w:themeColor="text1"/>
          <w:sz w:val="32"/>
          <w:szCs w:val="32"/>
          <w:lang w:eastAsia="zh-CN"/>
          <w14:textFill>
            <w14:solidFill>
              <w14:schemeClr w14:val="tx1"/>
            </w14:solidFill>
          </w14:textFill>
        </w:rPr>
        <w:t>）</w:t>
      </w:r>
      <w:r>
        <w:rPr>
          <w:rFonts w:hint="eastAsia" w:ascii="楷体" w:hAnsi="楷体" w:eastAsia="楷体" w:cs="楷体"/>
          <w:b/>
          <w:bCs w:val="0"/>
          <w:color w:val="000000" w:themeColor="text1"/>
          <w:sz w:val="32"/>
          <w:szCs w:val="32"/>
          <w14:textFill>
            <w14:solidFill>
              <w14:schemeClr w14:val="tx1"/>
            </w14:solidFill>
          </w14:textFill>
        </w:rPr>
        <w:t>能力</w:t>
      </w:r>
      <w:bookmarkEnd w:id="25"/>
      <w:bookmarkEnd w:id="26"/>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zh-CN" w:eastAsia="zh-CN"/>
          <w14:textFill>
            <w14:solidFill>
              <w14:schemeClr w14:val="tx1"/>
            </w14:solidFill>
          </w14:textFill>
        </w:rPr>
        <w:t>1.具有熟练的计算机操作技能，能够进行网络操作系统和常用软件的安装与维护；</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zh-CN" w:eastAsia="zh-CN"/>
          <w14:textFill>
            <w14:solidFill>
              <w14:schemeClr w14:val="tx1"/>
            </w14:solidFill>
          </w14:textFill>
        </w:rPr>
        <w:t>2.具备网页设计的知识与技能；</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zh-CN" w:eastAsia="zh-CN"/>
          <w14:textFill>
            <w14:solidFill>
              <w14:schemeClr w14:val="tx1"/>
            </w14:solidFill>
          </w14:textFill>
        </w:rPr>
        <w:t>3.具有搭建和配置小型局域网的能力；</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zh-CN" w:eastAsia="zh-CN"/>
          <w14:textFill>
            <w14:solidFill>
              <w14:schemeClr w14:val="tx1"/>
            </w14:solidFill>
          </w14:textFill>
        </w:rPr>
        <w:t>4.具备能够进行网站的建立、发布、维护与管理能力；</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zh-CN" w:eastAsia="zh-CN"/>
          <w14:textFill>
            <w14:solidFill>
              <w14:schemeClr w14:val="tx1"/>
            </w14:solidFill>
          </w14:textFill>
        </w:rPr>
        <w:t>5.具有网络监控和维护的能力；</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zh-CN" w:eastAsia="zh-CN"/>
          <w14:textFill>
            <w14:solidFill>
              <w14:schemeClr w14:val="tx1"/>
            </w14:solidFill>
          </w14:textFill>
        </w:rPr>
        <w:t>6.具有能对网络设备进行安装与调试的能力；</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zh-CN" w:eastAsia="zh-CN"/>
          <w14:textFill>
            <w14:solidFill>
              <w14:schemeClr w14:val="tx1"/>
            </w14:solidFill>
          </w14:textFill>
        </w:rPr>
        <w:t>7.具备能进行服务器系统的配置与管理能力；</w:t>
      </w:r>
    </w:p>
    <w:p>
      <w:pPr>
        <w:spacing w:line="560" w:lineRule="exact"/>
        <w:ind w:firstLine="640" w:firstLineChars="200"/>
        <w:jc w:val="left"/>
        <w:rPr>
          <w:rFonts w:hint="eastAsia" w:ascii="仿宋" w:hAnsi="仿宋" w:eastAsia="仿宋" w:cs="仿宋"/>
          <w:bCs/>
          <w:color w:val="000000" w:themeColor="text1"/>
          <w:sz w:val="32"/>
          <w:szCs w:val="32"/>
          <w:lang w:val="zh-CN" w:eastAsia="zh-CN"/>
          <w14:textFill>
            <w14:solidFill>
              <w14:schemeClr w14:val="tx1"/>
            </w14:solidFill>
          </w14:textFill>
        </w:rPr>
      </w:pPr>
      <w:r>
        <w:rPr>
          <w:rFonts w:hint="eastAsia" w:ascii="仿宋" w:hAnsi="仿宋" w:eastAsia="仿宋" w:cs="仿宋"/>
          <w:bCs/>
          <w:color w:val="000000" w:themeColor="text1"/>
          <w:sz w:val="32"/>
          <w:szCs w:val="32"/>
          <w:lang w:val="zh-CN" w:eastAsia="zh-CN"/>
          <w14:textFill>
            <w14:solidFill>
              <w14:schemeClr w14:val="tx1"/>
            </w14:solidFill>
          </w14:textFill>
        </w:rPr>
        <w:t>8.具有较强的逻辑思维能力和分析、判断、概括能力。</w:t>
      </w:r>
    </w:p>
    <w:p>
      <w:pPr>
        <w:spacing w:line="560" w:lineRule="exact"/>
        <w:ind w:firstLine="640" w:firstLineChars="200"/>
        <w:jc w:val="left"/>
        <w:outlineLvl w:val="0"/>
        <w:rPr>
          <w:rFonts w:hint="eastAsia" w:ascii="黑体" w:hAnsi="黑体" w:eastAsia="黑体" w:cs="黑体"/>
          <w:color w:val="000000" w:themeColor="text1"/>
          <w:sz w:val="32"/>
          <w:szCs w:val="32"/>
          <w:lang w:val="en-US" w:eastAsia="zh-CN"/>
          <w14:textFill>
            <w14:solidFill>
              <w14:schemeClr w14:val="tx1"/>
            </w14:solidFill>
          </w14:textFill>
        </w:rPr>
      </w:pPr>
      <w:bookmarkStart w:id="27" w:name="_Toc14087"/>
      <w:bookmarkStart w:id="28" w:name="_Toc32645"/>
      <w:r>
        <w:rPr>
          <w:rFonts w:hint="eastAsia" w:ascii="黑体" w:hAnsi="黑体" w:eastAsia="黑体" w:cs="黑体"/>
          <w:color w:val="000000" w:themeColor="text1"/>
          <w:sz w:val="32"/>
          <w:szCs w:val="32"/>
          <w:lang w:val="en-US" w:eastAsia="zh-CN"/>
          <w14:textFill>
            <w14:solidFill>
              <w14:schemeClr w14:val="tx1"/>
            </w14:solidFill>
          </w14:textFill>
        </w:rPr>
        <w:t>七、职业能力和职业资格/职业技能标准分析</w:t>
      </w:r>
      <w:bookmarkEnd w:id="27"/>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职业能力和职业资格/职业技能标准分析表见表1-2。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表1-2        职业能力和职业资格/职业技能标准分析表</w:t>
      </w:r>
    </w:p>
    <w:tbl>
      <w:tblPr>
        <w:tblStyle w:val="11"/>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210"/>
        <w:gridCol w:w="3461"/>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5" w:type="dxa"/>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bCs w:val="0"/>
                <w:color w:val="000000" w:themeColor="text1"/>
                <w:kern w:val="0"/>
                <w:sz w:val="24"/>
                <w:szCs w:val="24"/>
                <w:lang w:val="en-US" w:eastAsia="zh-CN"/>
                <w14:textFill>
                  <w14:solidFill>
                    <w14:schemeClr w14:val="tx1"/>
                  </w14:solidFill>
                </w14:textFill>
              </w:rPr>
              <w:t>工作领域</w:t>
            </w:r>
          </w:p>
        </w:tc>
        <w:tc>
          <w:tcPr>
            <w:tcW w:w="1210" w:type="dxa"/>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bCs w:val="0"/>
                <w:color w:val="000000" w:themeColor="text1"/>
                <w:kern w:val="0"/>
                <w:sz w:val="24"/>
                <w:szCs w:val="24"/>
                <w:lang w:val="en-US" w:eastAsia="zh-CN"/>
                <w14:textFill>
                  <w14:solidFill>
                    <w14:schemeClr w14:val="tx1"/>
                  </w14:solidFill>
                </w14:textFill>
              </w:rPr>
              <w:t>工作任务</w:t>
            </w:r>
          </w:p>
        </w:tc>
        <w:tc>
          <w:tcPr>
            <w:tcW w:w="3461" w:type="dxa"/>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bCs w:val="0"/>
                <w:color w:val="000000" w:themeColor="text1"/>
                <w:kern w:val="0"/>
                <w:sz w:val="24"/>
                <w:szCs w:val="24"/>
                <w:lang w:val="en-US" w:eastAsia="zh-CN"/>
                <w14:textFill>
                  <w14:solidFill>
                    <w14:schemeClr w14:val="tx1"/>
                  </w14:solidFill>
                </w14:textFill>
              </w:rPr>
              <w:t>职业能力</w:t>
            </w:r>
          </w:p>
        </w:tc>
        <w:tc>
          <w:tcPr>
            <w:tcW w:w="3083" w:type="dxa"/>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bCs w:val="0"/>
                <w:color w:val="000000" w:themeColor="text1"/>
                <w:kern w:val="0"/>
                <w:sz w:val="24"/>
                <w:szCs w:val="24"/>
                <w:lang w:val="en-US" w:eastAsia="zh-CN"/>
                <w14:textFill>
                  <w14:solidFill>
                    <w14:schemeClr w14:val="tx1"/>
                  </w14:solidFill>
                </w14:textFill>
              </w:rPr>
              <w:t>职业资格 (技能)标准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265" w:type="dxa"/>
            <w:vMerge w:val="restar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网站开发设计员</w:t>
            </w:r>
          </w:p>
        </w:tc>
        <w:tc>
          <w:tcPr>
            <w:tcW w:w="121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网页制作</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p>
        </w:tc>
        <w:tc>
          <w:tcPr>
            <w:tcW w:w="346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能够依据客户需求分析设计网页；具备美化网页所需基本图形图像及动画处理能力。</w:t>
            </w:r>
          </w:p>
        </w:tc>
        <w:tc>
          <w:tcPr>
            <w:tcW w:w="3083"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能够依据客户需求分析设计网页；能够依据客户的要求完成网页的美化。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265" w:type="dxa"/>
            <w:vMerge w:val="continue"/>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p>
        </w:tc>
        <w:tc>
          <w:tcPr>
            <w:tcW w:w="1210" w:type="dxa"/>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网站维护</w:t>
            </w:r>
          </w:p>
        </w:tc>
        <w:tc>
          <w:tcPr>
            <w:tcW w:w="346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能够完成网站服务器及相关软硬件的维护，对可能出现的问题进行评估；网站根据客户需求完成内容的更新、调整等工作。</w:t>
            </w:r>
          </w:p>
        </w:tc>
        <w:tc>
          <w:tcPr>
            <w:tcW w:w="3083"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能够完成网站服务器及相关软硬件的维护，对可能出现的问题进行评估；网站根据客户需求完成内容的更新、调整等工作。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26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网络建设维护人员</w:t>
            </w:r>
          </w:p>
        </w:tc>
        <w:tc>
          <w:tcPr>
            <w:tcW w:w="121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网络设计</w:t>
            </w:r>
          </w:p>
        </w:tc>
        <w:tc>
          <w:tcPr>
            <w:tcW w:w="346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能够依据客户需求完成网络设计；</w:t>
            </w:r>
            <w:r>
              <w:rPr>
                <w:rFonts w:hint="eastAsia" w:ascii="仿宋" w:hAnsi="仿宋" w:eastAsia="仿宋" w:cs="仿宋"/>
                <w:bCs/>
                <w:color w:val="000000" w:themeColor="text1"/>
                <w:w w:val="100"/>
                <w:kern w:val="0"/>
                <w:sz w:val="24"/>
                <w:szCs w:val="24"/>
                <w:lang w:val="en-US" w:eastAsia="zh-CN"/>
                <w14:textFill>
                  <w14:solidFill>
                    <w14:schemeClr w14:val="tx1"/>
                  </w14:solidFill>
                </w14:textFill>
              </w:rPr>
              <w:t>具有综合布线实施的能力。</w:t>
            </w:r>
          </w:p>
        </w:tc>
        <w:tc>
          <w:tcPr>
            <w:tcW w:w="3083"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能够依据客户需求完成网络设计；</w:t>
            </w:r>
            <w:r>
              <w:rPr>
                <w:rFonts w:hint="eastAsia" w:ascii="仿宋" w:hAnsi="仿宋" w:eastAsia="仿宋" w:cs="仿宋"/>
                <w:bCs/>
                <w:color w:val="000000" w:themeColor="text1"/>
                <w:w w:val="100"/>
                <w:kern w:val="0"/>
                <w:sz w:val="24"/>
                <w:szCs w:val="24"/>
                <w:lang w:val="en-US" w:eastAsia="zh-CN"/>
                <w14:textFill>
                  <w14:solidFill>
                    <w14:schemeClr w14:val="tx1"/>
                  </w14:solidFill>
                </w14:textFill>
              </w:rPr>
              <w:t>具有综合布线实施的能力</w:t>
            </w:r>
            <w:r>
              <w:rPr>
                <w:rFonts w:hint="eastAsia" w:ascii="仿宋" w:hAnsi="仿宋" w:eastAsia="仿宋" w:cs="仿宋"/>
                <w:bCs/>
                <w:color w:val="000000" w:themeColor="text1"/>
                <w:w w:val="90"/>
                <w:kern w:val="0"/>
                <w:sz w:val="24"/>
                <w:szCs w:val="24"/>
                <w:lang w:val="en-US" w:eastAsia="zh-CN"/>
                <w14:textFill>
                  <w14:solidFill>
                    <w14:schemeClr w14:val="tx1"/>
                  </w14:solidFill>
                </w14:textFill>
              </w:rPr>
              <w:t>。</w:t>
            </w:r>
          </w:p>
        </w:tc>
      </w:tr>
    </w:tbl>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29" w:name="_Toc31386"/>
      <w:bookmarkStart w:id="30" w:name="_Toc25735"/>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、课程设置及要求</w:t>
      </w:r>
      <w:bookmarkEnd w:id="29"/>
      <w:bookmarkEnd w:id="30"/>
    </w:p>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bookmarkStart w:id="31" w:name="_Toc12132"/>
      <w:bookmarkStart w:id="32" w:name="_Toc8029"/>
      <w:r>
        <w:rPr>
          <w:rFonts w:hint="eastAsia" w:ascii="楷体" w:hAnsi="楷体" w:eastAsia="楷体" w:cs="楷体"/>
          <w:b/>
          <w:bCs/>
          <w:color w:val="000000" w:themeColor="text1"/>
          <w:sz w:val="32"/>
          <w:szCs w:val="32"/>
          <w14:textFill>
            <w14:solidFill>
              <w14:schemeClr w14:val="tx1"/>
            </w14:solidFill>
          </w14:textFill>
        </w:rPr>
        <w:t>（一）公共基础课程</w:t>
      </w:r>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公共基础课程</w:t>
      </w:r>
      <w:r>
        <w:rPr>
          <w:rFonts w:hint="eastAsia" w:ascii="仿宋" w:hAnsi="仿宋" w:eastAsia="仿宋" w:cs="仿宋"/>
          <w:color w:val="000000" w:themeColor="text1"/>
          <w:sz w:val="32"/>
          <w:szCs w:val="32"/>
          <w:lang w:val="en-US" w:eastAsia="zh-CN"/>
          <w14:textFill>
            <w14:solidFill>
              <w14:schemeClr w14:val="tx1"/>
            </w14:solidFill>
          </w14:textFill>
        </w:rPr>
        <w:t>见表1-3。</w:t>
      </w:r>
    </w:p>
    <w:p>
      <w:pPr>
        <w:spacing w:line="560" w:lineRule="exact"/>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p>
    <w:p>
      <w:pPr>
        <w:spacing w:line="560" w:lineRule="exact"/>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p>
    <w:p>
      <w:pPr>
        <w:spacing w:line="560" w:lineRule="exact"/>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p>
    <w:p>
      <w:pPr>
        <w:spacing w:line="560" w:lineRule="exact"/>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表1-3                    </w:t>
      </w:r>
      <w:r>
        <w:rPr>
          <w:rFonts w:hint="eastAsia" w:ascii="仿宋" w:hAnsi="仿宋" w:eastAsia="仿宋" w:cs="仿宋"/>
          <w:b w:val="0"/>
          <w:bCs w:val="0"/>
          <w:color w:val="000000" w:themeColor="text1"/>
          <w:sz w:val="28"/>
          <w:szCs w:val="28"/>
          <w14:textFill>
            <w14:solidFill>
              <w14:schemeClr w14:val="tx1"/>
            </w14:solidFill>
          </w14:textFill>
        </w:rPr>
        <w:t>公共基础课程</w:t>
      </w:r>
    </w:p>
    <w:tbl>
      <w:tblPr>
        <w:tblStyle w:val="10"/>
        <w:tblW w:w="8479" w:type="dxa"/>
        <w:jc w:val="center"/>
        <w:tblLayout w:type="autofit"/>
        <w:tblCellMar>
          <w:top w:w="0" w:type="dxa"/>
          <w:left w:w="108" w:type="dxa"/>
          <w:bottom w:w="0" w:type="dxa"/>
          <w:right w:w="108" w:type="dxa"/>
        </w:tblCellMar>
      </w:tblPr>
      <w:tblGrid>
        <w:gridCol w:w="828"/>
        <w:gridCol w:w="1424"/>
        <w:gridCol w:w="6227"/>
      </w:tblGrid>
      <w:tr>
        <w:tblPrEx>
          <w:tblCellMar>
            <w:top w:w="0" w:type="dxa"/>
            <w:left w:w="108" w:type="dxa"/>
            <w:bottom w:w="0" w:type="dxa"/>
            <w:right w:w="108" w:type="dxa"/>
          </w:tblCellMar>
        </w:tblPrEx>
        <w:trPr>
          <w:trHeight w:val="44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数学</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依据《中等职业学校数学课程标准(2020年版)》开设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通过本课程学习，使学生</w:t>
            </w:r>
            <w:r>
              <w:rPr>
                <w:rFonts w:hint="eastAsia" w:ascii="仿宋" w:hAnsi="仿宋" w:eastAsia="仿宋" w:cs="仿宋"/>
                <w:color w:val="000000"/>
                <w:kern w:val="0"/>
                <w:sz w:val="24"/>
                <w:szCs w:val="24"/>
                <w:lang w:val="en-US" w:eastAsia="zh-CN" w:bidi="ar"/>
              </w:rPr>
              <w:t>获得进一步学习和</w:t>
            </w:r>
            <w:r>
              <w:rPr>
                <w:rFonts w:hint="eastAsia" w:ascii="仿宋" w:hAnsi="仿宋" w:eastAsia="仿宋" w:cs="仿宋"/>
                <w:color w:val="000000"/>
                <w:kern w:val="0"/>
                <w:sz w:val="24"/>
                <w:szCs w:val="24"/>
                <w:lang w:bidi="ar"/>
              </w:rPr>
              <w:t>职业发展所必需的数学知识、数学技能、数学方法</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数学思想和</w:t>
            </w:r>
            <w:r>
              <w:rPr>
                <w:rFonts w:hint="eastAsia" w:ascii="仿宋" w:hAnsi="仿宋" w:eastAsia="仿宋" w:cs="仿宋"/>
                <w:color w:val="000000"/>
                <w:kern w:val="0"/>
                <w:sz w:val="24"/>
                <w:szCs w:val="24"/>
                <w:lang w:val="en-US" w:eastAsia="zh-CN" w:bidi="ar"/>
              </w:rPr>
              <w:t>活动经验</w:t>
            </w:r>
            <w:r>
              <w:rPr>
                <w:rFonts w:hint="eastAsia" w:ascii="仿宋" w:hAnsi="仿宋" w:eastAsia="仿宋" w:cs="仿宋"/>
                <w:color w:val="000000"/>
                <w:kern w:val="0"/>
                <w:sz w:val="24"/>
                <w:szCs w:val="24"/>
                <w:lang w:bidi="ar"/>
              </w:rPr>
              <w:t>，具备中等职业教育数学学科核心素养，形成在继续学习和未来工作中运用数学知识和经验发现问题的意识、运用数学的思想方法和工具解决问题的能力。</w:t>
            </w:r>
          </w:p>
        </w:tc>
      </w:tr>
      <w:tr>
        <w:tblPrEx>
          <w:tblCellMar>
            <w:top w:w="0" w:type="dxa"/>
            <w:left w:w="108" w:type="dxa"/>
            <w:bottom w:w="0" w:type="dxa"/>
            <w:right w:w="108" w:type="dxa"/>
          </w:tblCellMar>
        </w:tblPrEx>
        <w:trPr>
          <w:trHeight w:val="81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语文</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依据《中等职业学校语文课程标准(2020年版)》开设。通过阅读与欣赏、表达与交流和语文综合实践等学习活动，使学生具有较强的语言文字运用能力和思维能力，能够传承中华民族优秀</w:t>
            </w:r>
            <w:r>
              <w:rPr>
                <w:rFonts w:hint="eastAsia" w:ascii="仿宋" w:hAnsi="仿宋" w:eastAsia="仿宋" w:cs="仿宋"/>
                <w:color w:val="000000"/>
                <w:kern w:val="0"/>
                <w:sz w:val="24"/>
                <w:szCs w:val="24"/>
                <w:lang w:val="en-US" w:eastAsia="zh-CN" w:bidi="ar"/>
              </w:rPr>
              <w:t>文化</w:t>
            </w:r>
            <w:r>
              <w:rPr>
                <w:rFonts w:hint="eastAsia" w:ascii="仿宋" w:hAnsi="仿宋" w:eastAsia="仿宋" w:cs="仿宋"/>
                <w:color w:val="000000"/>
                <w:kern w:val="0"/>
                <w:sz w:val="24"/>
                <w:szCs w:val="24"/>
                <w:lang w:bidi="ar"/>
              </w:rPr>
              <w:t>，吸收人类进步文化，提高人文素养，养成良好道德品质，成为全面发展的高素质技能技术人才</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200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英语</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依据《中等职业学校语英语课程标准(2020年版)》开设。通过本课程学习，使学生掌握一定的英语基础知识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提高听、说、读、写等语言技能，</w:t>
            </w:r>
            <w:r>
              <w:rPr>
                <w:rFonts w:hint="eastAsia" w:ascii="仿宋" w:hAnsi="仿宋" w:eastAsia="仿宋" w:cs="仿宋"/>
                <w:color w:val="000000"/>
                <w:kern w:val="0"/>
                <w:sz w:val="24"/>
                <w:szCs w:val="24"/>
                <w:lang w:bidi="ar"/>
              </w:rPr>
              <w:t>培养学生在日常生活和职业场景中的英语应用能力</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发展英语学科核心素养，为</w:t>
            </w:r>
            <w:r>
              <w:rPr>
                <w:rFonts w:hint="eastAsia" w:ascii="仿宋" w:hAnsi="仿宋" w:eastAsia="仿宋" w:cs="仿宋"/>
                <w:color w:val="000000"/>
                <w:kern w:val="0"/>
                <w:sz w:val="24"/>
                <w:szCs w:val="24"/>
                <w:lang w:bidi="ar"/>
              </w:rPr>
              <w:t>学生的职业生涯、继续学习和终身发展莫定基础</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144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信息技术</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依据《中等职业学校信息技术课程标准(2020 年版)》开设。通过本课程学习，使学生掌握必备的计算机应用基础知识和基本技能，培养学生</w:t>
            </w:r>
            <w:r>
              <w:rPr>
                <w:rFonts w:hint="eastAsia" w:ascii="仿宋" w:hAnsi="仿宋" w:eastAsia="仿宋" w:cs="仿宋"/>
                <w:color w:val="000000"/>
                <w:kern w:val="0"/>
                <w:sz w:val="24"/>
                <w:szCs w:val="24"/>
                <w:lang w:val="en-US" w:eastAsia="zh-CN" w:bidi="ar"/>
              </w:rPr>
              <w:t>符合时代要求的信息素养和</w:t>
            </w:r>
            <w:r>
              <w:rPr>
                <w:rFonts w:hint="eastAsia" w:ascii="仿宋" w:hAnsi="仿宋" w:eastAsia="仿宋" w:cs="仿宋"/>
                <w:color w:val="000000"/>
                <w:w w:val="90"/>
                <w:kern w:val="0"/>
                <w:sz w:val="24"/>
                <w:szCs w:val="24"/>
                <w:lang w:val="en-US" w:eastAsia="zh-CN" w:bidi="ar"/>
              </w:rPr>
              <w:t>适应职业发展需要的信息能力。</w:t>
            </w:r>
          </w:p>
        </w:tc>
      </w:tr>
      <w:tr>
        <w:tblPrEx>
          <w:tblCellMar>
            <w:top w:w="0" w:type="dxa"/>
            <w:left w:w="108" w:type="dxa"/>
            <w:bottom w:w="0" w:type="dxa"/>
            <w:right w:w="108" w:type="dxa"/>
          </w:tblCellMar>
        </w:tblPrEx>
        <w:trPr>
          <w:trHeight w:val="75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中国特色社会主义</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理解中国特色社会主义理论体系的基本内容和科学方法，帮助学生正确理解这一理论体系基本理论观点，深刻理解党在社会主义初级阶段的基本路线、基本纲领和基本要求，准确把握建设中国特色社会主义的总依据、总任务和总布局，坚定在党的领导下走中国特色社会主义道路的理想信念，为全面建成小康社会、实现中华民族伟大复兴而努力奋斗。</w:t>
            </w:r>
          </w:p>
        </w:tc>
      </w:tr>
      <w:tr>
        <w:tblPrEx>
          <w:tblCellMar>
            <w:top w:w="0" w:type="dxa"/>
            <w:left w:w="108" w:type="dxa"/>
            <w:bottom w:w="0" w:type="dxa"/>
            <w:right w:w="108" w:type="dxa"/>
          </w:tblCellMar>
        </w:tblPrEx>
        <w:trPr>
          <w:trHeight w:val="44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心理健康与职业生涯</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心理健康的基本知识、方法和意识的教育，帮助学生正确处理成长、学习、生活和求职就业中遇到的心理行为问题，促进其身心和谐健康发展。引导学生树立正确的职业观念和职业理想，学会根据社会需要和自身特点进行职业生涯规划，并以此规范和调整自己的行为，为顺利就业创业创造条件。</w:t>
            </w:r>
          </w:p>
        </w:tc>
      </w:tr>
      <w:tr>
        <w:tblPrEx>
          <w:tblCellMar>
            <w:top w:w="0" w:type="dxa"/>
            <w:left w:w="108" w:type="dxa"/>
            <w:bottom w:w="0" w:type="dxa"/>
            <w:right w:w="108" w:type="dxa"/>
          </w:tblCellMar>
        </w:tblPrEx>
        <w:trPr>
          <w:trHeight w:val="43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哲学与人生</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马克思主义哲学基本观点和方法，帮助学生学习运用辩证唯物主义和历史唯物主义的观点和方法，正确看待自然、社会的发展，正确认识和处理人生发展中的基本问题，树立和追求崇高理想，逐步形成正确的世界观、人生观和价值观。</w:t>
            </w:r>
          </w:p>
        </w:tc>
      </w:tr>
      <w:tr>
        <w:tblPrEx>
          <w:tblCellMar>
            <w:top w:w="0" w:type="dxa"/>
            <w:left w:w="108" w:type="dxa"/>
            <w:bottom w:w="0" w:type="dxa"/>
            <w:right w:w="108" w:type="dxa"/>
          </w:tblCellMar>
        </w:tblPrEx>
        <w:trPr>
          <w:trHeight w:val="114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职业道德与法治</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(2020年版)》开设。通过本课程学习，使学生掌握职业道德的作用和基本规范，增强职业道德和法治意识，养成爱岗敬业、依法办事的思维方式和行为习惯</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成为懂法、守法、用法的公民。</w:t>
            </w:r>
          </w:p>
        </w:tc>
      </w:tr>
      <w:tr>
        <w:tblPrEx>
          <w:tblCellMar>
            <w:top w:w="0" w:type="dxa"/>
            <w:left w:w="108" w:type="dxa"/>
            <w:bottom w:w="0" w:type="dxa"/>
            <w:right w:w="108" w:type="dxa"/>
          </w:tblCellMar>
        </w:tblPrEx>
        <w:trPr>
          <w:trHeight w:val="43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体育与健康</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体育与健康课程标准(2020年版)》开设。通过本课程学习，使学生掌握体育基本理论知识、技术、技能和科学锻炼身体的方法，培养自主锻炼、自我保健、自我评价和自我调控的意识,全面提高身心素质和社会适应能力，为终身锻炼、继续学习与创业立业奠定基础。</w:t>
            </w:r>
          </w:p>
        </w:tc>
      </w:tr>
      <w:tr>
        <w:tblPrEx>
          <w:tblCellMar>
            <w:top w:w="0" w:type="dxa"/>
            <w:left w:w="108" w:type="dxa"/>
            <w:bottom w:w="0" w:type="dxa"/>
            <w:right w:w="108" w:type="dxa"/>
          </w:tblCellMar>
        </w:tblPrEx>
        <w:trPr>
          <w:trHeight w:val="11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yellow"/>
              </w:rPr>
            </w:pPr>
            <w:r>
              <w:rPr>
                <w:rFonts w:hint="eastAsia" w:ascii="仿宋" w:hAnsi="仿宋" w:eastAsia="仿宋" w:cs="仿宋"/>
                <w:color w:val="000000"/>
                <w:kern w:val="0"/>
                <w:sz w:val="24"/>
                <w:szCs w:val="24"/>
                <w:highlight w:val="none"/>
                <w:lang w:bidi="ar"/>
              </w:rPr>
              <w:t>历史</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依据《中等职业学校历史课程标准(2020 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通过本课程学习，使学生了解人类社会发展的基本脉络和优秀文化传统，从历史的角度了解和思考人与人</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人与社会、人与自然的关系，增强历史使命感和社会责任感;培育社会主义核心价值观，进一步弘扬以爱国主义为核心的民族精神和以改革创新为核心的时代精神</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培养健全的人格，树立正确的历史观、人生观和价值观，为中等职业学校学生未来的学习、工作和生活打下基础。</w:t>
            </w:r>
          </w:p>
        </w:tc>
      </w:tr>
      <w:tr>
        <w:tblPrEx>
          <w:tblCellMar>
            <w:top w:w="0" w:type="dxa"/>
            <w:left w:w="108" w:type="dxa"/>
            <w:bottom w:w="0" w:type="dxa"/>
            <w:right w:w="108" w:type="dxa"/>
          </w:tblCellMar>
        </w:tblPrEx>
        <w:trPr>
          <w:trHeight w:val="11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音乐欣赏</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依据《中等职业学校艺术课程标准(2020年版)》开设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学生通过聆听中外经典音乐作品，参与音乐鉴赏与实践活动，认识音乐的基本功能与作用，获得精神愉悦，提高审美情趣和音乐实践能力。</w:t>
            </w:r>
          </w:p>
        </w:tc>
      </w:tr>
      <w:tr>
        <w:tblPrEx>
          <w:tblCellMar>
            <w:top w:w="0" w:type="dxa"/>
            <w:left w:w="108" w:type="dxa"/>
            <w:bottom w:w="0" w:type="dxa"/>
            <w:right w:w="108" w:type="dxa"/>
          </w:tblCellMar>
        </w:tblPrEx>
        <w:trPr>
          <w:trHeight w:val="4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美术欣赏</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依据《中等职业学校艺术课程标准(2020年版)》开设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学生通过观察、体验、赏析、评判等活动，学习美术知识和技能，欣赏美术作品，了解作品主题，感悟作品情感，理解作品内涵，认识美术的基本功能与作用，提高审美情趣和美术实践能力。</w:t>
            </w:r>
          </w:p>
        </w:tc>
      </w:tr>
      <w:tr>
        <w:tblPrEx>
          <w:tblCellMar>
            <w:top w:w="0" w:type="dxa"/>
            <w:left w:w="108" w:type="dxa"/>
            <w:bottom w:w="0" w:type="dxa"/>
            <w:right w:w="108" w:type="dxa"/>
          </w:tblCellMar>
        </w:tblPrEx>
        <w:trPr>
          <w:trHeight w:val="91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书法</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通过本课程学习，使学生了解汉字的结构规律，养成良好的书写习惯,写得一手好字。</w:t>
            </w:r>
          </w:p>
        </w:tc>
      </w:tr>
      <w:tr>
        <w:tblPrEx>
          <w:tblCellMar>
            <w:top w:w="0" w:type="dxa"/>
            <w:left w:w="108" w:type="dxa"/>
            <w:bottom w:w="0" w:type="dxa"/>
            <w:right w:w="108" w:type="dxa"/>
          </w:tblCellMar>
        </w:tblPrEx>
        <w:trPr>
          <w:trHeight w:val="11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礼乐修身</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通过本课程学习，使学生掌握中外礼仪基本概况及礼仪的核心精神，使学生成为有教养、有修养、有素养、有涵养的合格职业人。</w:t>
            </w:r>
          </w:p>
        </w:tc>
      </w:tr>
      <w:tr>
        <w:tblPrEx>
          <w:tblCellMar>
            <w:top w:w="0" w:type="dxa"/>
            <w:left w:w="108" w:type="dxa"/>
            <w:bottom w:w="0" w:type="dxa"/>
            <w:right w:w="108" w:type="dxa"/>
          </w:tblCellMar>
        </w:tblPrEx>
        <w:trPr>
          <w:trHeight w:val="11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劳动教育</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劳动教育以实习实训课为主要载体开展</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通过劳动精神、劳模精神</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工匠精神</w:t>
            </w:r>
            <w:r>
              <w:rPr>
                <w:rFonts w:hint="eastAsia" w:ascii="仿宋" w:hAnsi="仿宋" w:eastAsia="仿宋" w:cs="仿宋"/>
                <w:color w:val="000000"/>
                <w:kern w:val="0"/>
                <w:sz w:val="24"/>
                <w:szCs w:val="24"/>
                <w:lang w:val="en-US" w:eastAsia="zh-CN" w:bidi="ar"/>
              </w:rPr>
              <w:t>等</w:t>
            </w:r>
            <w:r>
              <w:rPr>
                <w:rFonts w:hint="eastAsia" w:ascii="仿宋" w:hAnsi="仿宋" w:eastAsia="仿宋" w:cs="仿宋"/>
                <w:color w:val="000000"/>
                <w:kern w:val="0"/>
                <w:sz w:val="24"/>
                <w:szCs w:val="24"/>
                <w:lang w:bidi="ar"/>
              </w:rPr>
              <w:t>专题教育学习，使学生</w:t>
            </w:r>
            <w:r>
              <w:rPr>
                <w:rFonts w:hint="eastAsia" w:ascii="仿宋" w:hAnsi="仿宋" w:eastAsia="仿宋" w:cs="仿宋"/>
                <w:i w:val="0"/>
                <w:iCs w:val="0"/>
                <w:color w:val="000000"/>
                <w:kern w:val="0"/>
                <w:sz w:val="24"/>
                <w:szCs w:val="24"/>
                <w:u w:val="none"/>
                <w:lang w:val="en-US" w:eastAsia="zh-CN" w:bidi="ar"/>
              </w:rPr>
              <w:t>在劳动中接受锻炼、磨炼意志，懂得劳动创造美好生活的道理，并培养良好的劳动品质。</w:t>
            </w:r>
          </w:p>
        </w:tc>
      </w:tr>
    </w:tbl>
    <w:p>
      <w:pPr>
        <w:numPr>
          <w:ilvl w:val="0"/>
          <w:numId w:val="1"/>
        </w:numPr>
        <w:spacing w:line="560" w:lineRule="exact"/>
        <w:ind w:firstLine="643" w:firstLineChars="200"/>
        <w:jc w:val="left"/>
        <w:outlineLvl w:val="1"/>
        <w:rPr>
          <w:rFonts w:ascii="楷体" w:hAnsi="楷体" w:eastAsia="楷体" w:cs="楷体"/>
          <w:b/>
          <w:bCs/>
          <w:color w:val="000000" w:themeColor="text1"/>
          <w:sz w:val="32"/>
          <w:szCs w:val="32"/>
          <w14:textFill>
            <w14:solidFill>
              <w14:schemeClr w14:val="tx1"/>
            </w14:solidFill>
          </w14:textFill>
        </w:rPr>
      </w:pPr>
      <w:bookmarkStart w:id="33" w:name="_Toc20494"/>
      <w:bookmarkStart w:id="34" w:name="_Toc28304"/>
      <w:r>
        <w:rPr>
          <w:rFonts w:hint="eastAsia" w:ascii="楷体" w:hAnsi="楷体" w:eastAsia="楷体" w:cs="楷体"/>
          <w:b/>
          <w:bCs/>
          <w:color w:val="000000" w:themeColor="text1"/>
          <w:sz w:val="32"/>
          <w:szCs w:val="32"/>
          <w14:textFill>
            <w14:solidFill>
              <w14:schemeClr w14:val="tx1"/>
            </w14:solidFill>
          </w14:textFill>
        </w:rPr>
        <w:t>专业（技能）课程</w:t>
      </w:r>
      <w:bookmarkEnd w:id="33"/>
      <w:bookmarkEnd w:id="34"/>
    </w:p>
    <w:p>
      <w:pPr>
        <w:spacing w:line="560" w:lineRule="exact"/>
        <w:ind w:firstLine="643" w:firstLineChars="200"/>
        <w:jc w:val="left"/>
        <w:outlineLvl w:val="2"/>
        <w:rPr>
          <w:rFonts w:hint="eastAsia" w:ascii="仿宋" w:hAnsi="仿宋" w:eastAsia="仿宋" w:cs="仿宋"/>
          <w:b/>
          <w:bCs/>
          <w:color w:val="000000" w:themeColor="text1"/>
          <w:sz w:val="32"/>
          <w:szCs w:val="32"/>
          <w:lang w:eastAsia="zh-CN"/>
          <w14:textFill>
            <w14:solidFill>
              <w14:schemeClr w14:val="tx1"/>
            </w14:solidFill>
          </w14:textFill>
        </w:rPr>
      </w:pPr>
      <w:bookmarkStart w:id="35" w:name="_Toc26998"/>
      <w:bookmarkStart w:id="36" w:name="_Toc22718"/>
      <w:r>
        <w:rPr>
          <w:rFonts w:hint="eastAsia" w:ascii="仿宋" w:hAnsi="仿宋" w:eastAsia="仿宋" w:cs="仿宋"/>
          <w:b/>
          <w:bCs/>
          <w:color w:val="000000" w:themeColor="text1"/>
          <w:sz w:val="32"/>
          <w:szCs w:val="32"/>
          <w14:textFill>
            <w14:solidFill>
              <w14:schemeClr w14:val="tx1"/>
            </w14:solidFill>
          </w14:textFill>
        </w:rPr>
        <w:t>1.专业理论课程</w:t>
      </w:r>
      <w:bookmarkEnd w:id="35"/>
      <w:bookmarkEnd w:id="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专业理论课程见表1-4。</w:t>
      </w:r>
    </w:p>
    <w:p>
      <w:pPr>
        <w:spacing w:line="560" w:lineRule="exact"/>
        <w:jc w:val="left"/>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表1-4                    专业理论课程</w:t>
      </w:r>
    </w:p>
    <w:tbl>
      <w:tblPr>
        <w:tblStyle w:val="10"/>
        <w:tblW w:w="8459" w:type="dxa"/>
        <w:jc w:val="center"/>
        <w:tblLayout w:type="autofit"/>
        <w:tblCellMar>
          <w:top w:w="0" w:type="dxa"/>
          <w:left w:w="108" w:type="dxa"/>
          <w:bottom w:w="0" w:type="dxa"/>
          <w:right w:w="108" w:type="dxa"/>
        </w:tblCellMar>
      </w:tblPr>
      <w:tblGrid>
        <w:gridCol w:w="1027"/>
        <w:gridCol w:w="1614"/>
        <w:gridCol w:w="5818"/>
      </w:tblGrid>
      <w:tr>
        <w:tblPrEx>
          <w:tblCellMar>
            <w:top w:w="0" w:type="dxa"/>
            <w:left w:w="108" w:type="dxa"/>
            <w:bottom w:w="0" w:type="dxa"/>
            <w:right w:w="108" w:type="dxa"/>
          </w:tblCellMar>
        </w:tblPrEx>
        <w:trPr>
          <w:trHeight w:val="448"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1595"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计算机基础</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本</w:t>
            </w:r>
            <w:r>
              <w:rPr>
                <w:rFonts w:hint="eastAsia" w:ascii="仿宋" w:hAnsi="仿宋" w:eastAsia="仿宋" w:cs="仿宋"/>
                <w:color w:val="000000"/>
                <w:kern w:val="0"/>
                <w:sz w:val="24"/>
                <w:szCs w:val="24"/>
                <w:highlight w:val="none"/>
                <w:lang w:val="en-US" w:eastAsia="zh-CN" w:bidi="ar"/>
              </w:rPr>
              <w:t>课程</w:t>
            </w:r>
            <w:r>
              <w:rPr>
                <w:rFonts w:hint="eastAsia" w:ascii="仿宋" w:hAnsi="仿宋" w:eastAsia="仿宋" w:cs="仿宋"/>
                <w:color w:val="000000"/>
                <w:kern w:val="0"/>
                <w:sz w:val="24"/>
                <w:szCs w:val="24"/>
                <w:highlight w:val="none"/>
                <w:lang w:bidi="ar"/>
              </w:rPr>
              <w:t>以办公职业岗位所需的知识、技能和职业素养为目标，主要介绍计算机基础知识、Windows</w:t>
            </w:r>
            <w:r>
              <w:rPr>
                <w:rFonts w:hint="eastAsia" w:ascii="仿宋" w:hAnsi="仿宋" w:eastAsia="仿宋" w:cs="仿宋"/>
                <w:color w:val="000000"/>
                <w:kern w:val="0"/>
                <w:sz w:val="24"/>
                <w:szCs w:val="24"/>
                <w:highlight w:val="none"/>
                <w:lang w:val="en-US" w:eastAsia="zh-CN" w:bidi="ar"/>
              </w:rPr>
              <w:t>基本</w:t>
            </w:r>
            <w:r>
              <w:rPr>
                <w:rFonts w:hint="eastAsia" w:ascii="仿宋" w:hAnsi="仿宋" w:eastAsia="仿宋" w:cs="仿宋"/>
                <w:color w:val="000000"/>
                <w:kern w:val="0"/>
                <w:sz w:val="24"/>
                <w:szCs w:val="24"/>
                <w:highlight w:val="none"/>
                <w:lang w:bidi="ar"/>
              </w:rPr>
              <w:t xml:space="preserve">操作、Word </w:t>
            </w:r>
            <w:r>
              <w:rPr>
                <w:rFonts w:hint="eastAsia" w:ascii="仿宋" w:hAnsi="仿宋" w:eastAsia="仿宋" w:cs="仿宋"/>
                <w:color w:val="000000"/>
                <w:kern w:val="0"/>
                <w:sz w:val="24"/>
                <w:szCs w:val="24"/>
                <w:highlight w:val="none"/>
                <w:lang w:val="en-US" w:eastAsia="zh-CN" w:bidi="ar"/>
              </w:rPr>
              <w:t>文字</w:t>
            </w:r>
            <w:r>
              <w:rPr>
                <w:rFonts w:hint="eastAsia" w:ascii="仿宋" w:hAnsi="仿宋" w:eastAsia="仿宋" w:cs="仿宋"/>
                <w:color w:val="000000"/>
                <w:kern w:val="0"/>
                <w:sz w:val="24"/>
                <w:szCs w:val="24"/>
                <w:highlight w:val="none"/>
                <w:lang w:bidi="ar"/>
              </w:rPr>
              <w:t>处理、Excel电子表格、PowerPoint演示文稿</w:t>
            </w:r>
            <w:r>
              <w:rPr>
                <w:rFonts w:hint="eastAsia" w:ascii="仿宋" w:hAnsi="仿宋" w:eastAsia="仿宋" w:cs="仿宋"/>
                <w:color w:val="000000"/>
                <w:kern w:val="0"/>
                <w:sz w:val="24"/>
                <w:szCs w:val="24"/>
                <w:highlight w:val="none"/>
                <w:lang w:val="en-US" w:eastAsia="zh-CN" w:bidi="ar"/>
              </w:rPr>
              <w:t>等内容</w:t>
            </w:r>
          </w:p>
        </w:tc>
      </w:tr>
      <w:tr>
        <w:tblPrEx>
          <w:tblCellMar>
            <w:top w:w="0" w:type="dxa"/>
            <w:left w:w="108" w:type="dxa"/>
            <w:bottom w:w="0" w:type="dxa"/>
            <w:right w:w="108" w:type="dxa"/>
          </w:tblCellMar>
        </w:tblPrEx>
        <w:trPr>
          <w:trHeight w:val="1595"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sz w:val="24"/>
                <w:szCs w:val="24"/>
                <w:highlight w:val="none"/>
              </w:rPr>
            </w:pPr>
            <w:r>
              <w:rPr>
                <w:rFonts w:hint="eastAsia" w:ascii="仿宋" w:hAnsi="仿宋" w:eastAsia="仿宋" w:cs="仿宋"/>
                <w:i w:val="0"/>
                <w:iCs w:val="0"/>
                <w:color w:val="000000"/>
                <w:kern w:val="0"/>
                <w:sz w:val="22"/>
                <w:szCs w:val="22"/>
                <w:highlight w:val="none"/>
                <w:u w:val="none"/>
                <w:lang w:val="en-US" w:eastAsia="zh-CN" w:bidi="ar"/>
              </w:rPr>
              <w:t>计算机网络基础</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了解计算机网络的类型，组成、应用等基础知识，熟悉网络工作原理、网络协议和网络规划相关知识，掌握简单局域网搭建及应用，网络设备的基础配置、网络服务器安装与调试等基本技能</w:t>
            </w:r>
            <w:r>
              <w:rPr>
                <w:rFonts w:hint="eastAsia" w:ascii="仿宋" w:hAnsi="仿宋" w:eastAsia="仿宋" w:cs="仿宋"/>
                <w:color w:val="000000"/>
                <w:kern w:val="0"/>
                <w:sz w:val="24"/>
                <w:szCs w:val="24"/>
                <w:highlight w:val="none"/>
                <w:lang w:eastAsia="zh-CN" w:bidi="ar"/>
              </w:rPr>
              <w:t>。</w:t>
            </w:r>
          </w:p>
        </w:tc>
      </w:tr>
      <w:tr>
        <w:tblPrEx>
          <w:tblCellMar>
            <w:top w:w="0" w:type="dxa"/>
            <w:left w:w="108" w:type="dxa"/>
            <w:bottom w:w="0" w:type="dxa"/>
            <w:right w:w="108" w:type="dxa"/>
          </w:tblCellMar>
        </w:tblPrEx>
        <w:trPr>
          <w:trHeight w:val="1595"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计算机组装与维修</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了解计算机</w:t>
            </w:r>
            <w:r>
              <w:rPr>
                <w:rFonts w:hint="eastAsia" w:ascii="仿宋" w:hAnsi="仿宋" w:eastAsia="仿宋" w:cs="仿宋"/>
                <w:color w:val="000000"/>
                <w:kern w:val="0"/>
                <w:sz w:val="24"/>
                <w:szCs w:val="24"/>
                <w:highlight w:val="none"/>
                <w:lang w:bidi="ar"/>
              </w:rPr>
              <w:t>主机配件、外围设备、硬件的组装、系统初始化、计算机病毒及其防范、日常维护、常见故障处理</w:t>
            </w:r>
            <w:r>
              <w:rPr>
                <w:rFonts w:hint="eastAsia" w:ascii="仿宋" w:hAnsi="仿宋" w:eastAsia="仿宋" w:cs="仿宋"/>
                <w:color w:val="000000"/>
                <w:kern w:val="0"/>
                <w:sz w:val="24"/>
                <w:szCs w:val="24"/>
                <w:highlight w:val="none"/>
                <w:lang w:val="en-US" w:eastAsia="zh-CN" w:bidi="ar"/>
              </w:rPr>
              <w:t>等</w:t>
            </w:r>
            <w:r>
              <w:rPr>
                <w:rFonts w:hint="eastAsia" w:ascii="仿宋" w:hAnsi="仿宋" w:eastAsia="仿宋" w:cs="仿宋"/>
                <w:color w:val="000000"/>
                <w:kern w:val="0"/>
                <w:sz w:val="24"/>
                <w:szCs w:val="24"/>
                <w:highlight w:val="none"/>
                <w:lang w:bidi="ar"/>
              </w:rPr>
              <w:t>基本操作</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bidi="ar"/>
              </w:rPr>
              <w:t>使学生具有</w:t>
            </w:r>
            <w:r>
              <w:rPr>
                <w:rFonts w:hint="eastAsia" w:ascii="仿宋" w:hAnsi="仿宋" w:eastAsia="仿宋" w:cs="仿宋"/>
                <w:color w:val="000000"/>
                <w:kern w:val="0"/>
                <w:sz w:val="24"/>
                <w:szCs w:val="24"/>
                <w:highlight w:val="none"/>
                <w:lang w:val="en-US" w:eastAsia="zh-CN" w:bidi="ar"/>
              </w:rPr>
              <w:t>技术</w:t>
            </w:r>
            <w:r>
              <w:rPr>
                <w:rFonts w:hint="eastAsia" w:ascii="仿宋" w:hAnsi="仿宋" w:eastAsia="仿宋" w:cs="仿宋"/>
                <w:color w:val="000000"/>
                <w:kern w:val="0"/>
                <w:sz w:val="24"/>
                <w:szCs w:val="24"/>
                <w:highlight w:val="none"/>
                <w:lang w:bidi="ar"/>
              </w:rPr>
              <w:t>技能型人才所必需的计算机组装与维护的基本技能。</w:t>
            </w:r>
          </w:p>
        </w:tc>
      </w:tr>
      <w:tr>
        <w:tblPrEx>
          <w:tblCellMar>
            <w:top w:w="0" w:type="dxa"/>
            <w:left w:w="108" w:type="dxa"/>
            <w:bottom w:w="0" w:type="dxa"/>
            <w:right w:w="108" w:type="dxa"/>
          </w:tblCellMar>
        </w:tblPrEx>
        <w:trPr>
          <w:trHeight w:val="356"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综合布线设计与施工</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本课程</w:t>
            </w:r>
            <w:r>
              <w:rPr>
                <w:rFonts w:hint="eastAsia" w:ascii="仿宋" w:hAnsi="仿宋" w:eastAsia="仿宋" w:cs="仿宋"/>
                <w:color w:val="000000"/>
                <w:kern w:val="0"/>
                <w:sz w:val="24"/>
                <w:szCs w:val="24"/>
                <w:highlight w:val="none"/>
                <w:lang w:bidi="ar"/>
              </w:rPr>
              <w:t>主要内容为认识综合布线系统、综合布线系统的设计、认识布线线材与工具、综合布线系统施工、综合布线系统的测试与工程验收</w:t>
            </w:r>
            <w:r>
              <w:rPr>
                <w:rFonts w:hint="eastAsia" w:ascii="仿宋" w:hAnsi="仿宋" w:eastAsia="仿宋" w:cs="仿宋"/>
                <w:color w:val="000000"/>
                <w:kern w:val="0"/>
                <w:sz w:val="24"/>
                <w:szCs w:val="24"/>
                <w:highlight w:val="none"/>
                <w:lang w:val="en-US" w:eastAsia="zh-CN" w:bidi="ar"/>
              </w:rPr>
              <w:t>等知识点</w:t>
            </w:r>
            <w:r>
              <w:rPr>
                <w:rFonts w:hint="eastAsia" w:ascii="仿宋" w:hAnsi="仿宋" w:eastAsia="仿宋" w:cs="仿宋"/>
                <w:color w:val="000000"/>
                <w:kern w:val="0"/>
                <w:sz w:val="24"/>
                <w:szCs w:val="24"/>
                <w:highlight w:val="none"/>
                <w:lang w:bidi="ar"/>
              </w:rPr>
              <w:t>。</w:t>
            </w:r>
          </w:p>
        </w:tc>
      </w:tr>
      <w:tr>
        <w:tblPrEx>
          <w:tblCellMar>
            <w:top w:w="0" w:type="dxa"/>
            <w:left w:w="108" w:type="dxa"/>
            <w:bottom w:w="0" w:type="dxa"/>
            <w:right w:w="108" w:type="dxa"/>
          </w:tblCellMar>
        </w:tblPrEx>
        <w:trPr>
          <w:trHeight w:val="1991"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2"/>
                <w:szCs w:val="22"/>
                <w:highlight w:val="none"/>
                <w:u w:val="none"/>
                <w:lang w:val="en-US" w:eastAsia="zh-CN" w:bidi="ar"/>
              </w:rPr>
              <w:t>网络信息安全基础</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本</w:t>
            </w:r>
            <w:r>
              <w:rPr>
                <w:rFonts w:hint="eastAsia" w:ascii="仿宋" w:hAnsi="仿宋" w:eastAsia="仿宋" w:cs="仿宋"/>
                <w:color w:val="000000"/>
                <w:kern w:val="0"/>
                <w:sz w:val="24"/>
                <w:szCs w:val="24"/>
                <w:highlight w:val="none"/>
                <w:lang w:val="en-US" w:eastAsia="zh-CN" w:bidi="ar"/>
              </w:rPr>
              <w:t>课程</w:t>
            </w:r>
            <w:r>
              <w:rPr>
                <w:rFonts w:hint="eastAsia" w:ascii="仿宋" w:hAnsi="仿宋" w:eastAsia="仿宋" w:cs="仿宋"/>
                <w:color w:val="000000"/>
                <w:kern w:val="0"/>
                <w:sz w:val="24"/>
                <w:szCs w:val="24"/>
                <w:highlight w:val="none"/>
                <w:lang w:bidi="ar"/>
              </w:rPr>
              <w:t>从网络信息安全的基本理论和技术出发，循序渐进地介绍网络信息安全与维护的相关知识和技能，</w:t>
            </w:r>
            <w:r>
              <w:rPr>
                <w:rFonts w:hint="eastAsia" w:ascii="仿宋" w:hAnsi="仿宋" w:eastAsia="仿宋" w:cs="仿宋"/>
                <w:color w:val="000000"/>
                <w:kern w:val="0"/>
                <w:sz w:val="24"/>
                <w:szCs w:val="24"/>
                <w:highlight w:val="none"/>
                <w:lang w:val="en-US" w:eastAsia="zh-CN" w:bidi="ar"/>
              </w:rPr>
              <w:t>涉及</w:t>
            </w:r>
            <w:r>
              <w:rPr>
                <w:rFonts w:hint="eastAsia" w:ascii="仿宋" w:hAnsi="仿宋" w:eastAsia="仿宋" w:cs="仿宋"/>
                <w:color w:val="000000"/>
                <w:kern w:val="0"/>
                <w:sz w:val="24"/>
                <w:szCs w:val="24"/>
                <w:highlight w:val="none"/>
                <w:lang w:bidi="ar"/>
              </w:rPr>
              <w:t>网络安全简介、加密技术、病毒防杀、木马防杀、端口扫描技术、防火墙技术、数据库安全、无线网络安全等</w:t>
            </w:r>
            <w:r>
              <w:rPr>
                <w:rFonts w:hint="eastAsia" w:ascii="仿宋" w:hAnsi="仿宋" w:eastAsia="仿宋" w:cs="仿宋"/>
                <w:color w:val="000000"/>
                <w:kern w:val="0"/>
                <w:sz w:val="24"/>
                <w:szCs w:val="24"/>
                <w:highlight w:val="none"/>
                <w:lang w:val="en-US" w:eastAsia="zh-CN" w:bidi="ar"/>
              </w:rPr>
              <w:t>知识。</w:t>
            </w:r>
          </w:p>
        </w:tc>
      </w:tr>
      <w:tr>
        <w:tblPrEx>
          <w:tblCellMar>
            <w:top w:w="0" w:type="dxa"/>
            <w:left w:w="108" w:type="dxa"/>
            <w:bottom w:w="0" w:type="dxa"/>
            <w:right w:w="108" w:type="dxa"/>
          </w:tblCellMar>
        </w:tblPrEx>
        <w:trPr>
          <w:trHeight w:val="949"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bookmarkStart w:id="37" w:name="_Toc18550"/>
            <w:bookmarkStart w:id="38" w:name="_Toc18265"/>
            <w:r>
              <w:rPr>
                <w:rFonts w:hint="eastAsia" w:ascii="仿宋" w:hAnsi="仿宋" w:eastAsia="仿宋" w:cs="仿宋"/>
                <w:color w:val="000000"/>
                <w:kern w:val="0"/>
                <w:sz w:val="24"/>
                <w:szCs w:val="24"/>
                <w:lang w:val="en-US" w:eastAsia="zh-CN" w:bidi="ar"/>
              </w:rPr>
              <w:t>6</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数据库原理与应用技术</w:t>
            </w:r>
          </w:p>
        </w:tc>
        <w:tc>
          <w:tcPr>
            <w:tcW w:w="5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本课程</w:t>
            </w:r>
            <w:r>
              <w:rPr>
                <w:rFonts w:hint="eastAsia" w:ascii="仿宋" w:hAnsi="仿宋" w:eastAsia="仿宋" w:cs="仿宋"/>
                <w:color w:val="000000"/>
                <w:kern w:val="0"/>
                <w:sz w:val="24"/>
                <w:szCs w:val="24"/>
                <w:highlight w:val="none"/>
                <w:lang w:bidi="ar"/>
              </w:rPr>
              <w:t>主要包括数据库的相关知识，创建数据库和数据表，数据库应用程序开发等。</w:t>
            </w:r>
          </w:p>
        </w:tc>
      </w:tr>
    </w:tbl>
    <w:p>
      <w:pPr>
        <w:spacing w:line="560" w:lineRule="exact"/>
        <w:ind w:firstLine="643" w:firstLineChars="200"/>
        <w:jc w:val="left"/>
        <w:outlineLvl w:val="2"/>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2.专业实训课程</w:t>
      </w:r>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专业实训课程见表1-5。</w:t>
      </w:r>
    </w:p>
    <w:p>
      <w:pPr>
        <w:spacing w:line="560" w:lineRule="exact"/>
        <w:jc w:val="lef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表1-5                     专业实训课程</w:t>
      </w:r>
    </w:p>
    <w:tbl>
      <w:tblPr>
        <w:tblStyle w:val="10"/>
        <w:tblW w:w="8324" w:type="dxa"/>
        <w:jc w:val="center"/>
        <w:tblLayout w:type="fixed"/>
        <w:tblCellMar>
          <w:top w:w="0" w:type="dxa"/>
          <w:left w:w="108" w:type="dxa"/>
          <w:bottom w:w="0" w:type="dxa"/>
          <w:right w:w="108" w:type="dxa"/>
        </w:tblCellMar>
      </w:tblPr>
      <w:tblGrid>
        <w:gridCol w:w="855"/>
        <w:gridCol w:w="1535"/>
        <w:gridCol w:w="5934"/>
      </w:tblGrid>
      <w:tr>
        <w:tblPrEx>
          <w:tblCellMar>
            <w:top w:w="0" w:type="dxa"/>
            <w:left w:w="108" w:type="dxa"/>
            <w:bottom w:w="0" w:type="dxa"/>
            <w:right w:w="108" w:type="dxa"/>
          </w:tblCellMar>
        </w:tblPrEx>
        <w:trPr>
          <w:trHeight w:val="552"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4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网页设计与制作</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本课程按网页设计与制作的具体操作任务组织教学内容，主要任务包括“制作图文网站”“设计音视频网页”“使用表格布局网站”“制作手机网页”等，每个任务中都体现不同的知识点，操作性和实用性强。</w:t>
            </w:r>
          </w:p>
        </w:tc>
      </w:tr>
      <w:tr>
        <w:tblPrEx>
          <w:tblCellMar>
            <w:top w:w="0" w:type="dxa"/>
            <w:left w:w="108" w:type="dxa"/>
            <w:bottom w:w="0" w:type="dxa"/>
            <w:right w:w="108" w:type="dxa"/>
          </w:tblCellMar>
        </w:tblPrEx>
        <w:trPr>
          <w:trHeight w:val="1662"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编程语言基础——C#语言</w:t>
            </w:r>
          </w:p>
          <w:p>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val="en-US" w:eastAsia="zh-CN" w:bidi="ar"/>
              </w:rPr>
            </w:pP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本课程介绍C#语言的基础知识与开发技巧。包括：C#初探及开发环境的搭建，C#语法基础（包括数据类型、数据运算、流程控制），面向对象编程入门，数组与字符串处理，Windows窗体程序设计等知识点。</w:t>
            </w:r>
          </w:p>
        </w:tc>
      </w:tr>
      <w:tr>
        <w:tblPrEx>
          <w:tblCellMar>
            <w:top w:w="0" w:type="dxa"/>
            <w:left w:w="108" w:type="dxa"/>
            <w:bottom w:w="0" w:type="dxa"/>
            <w:right w:w="108" w:type="dxa"/>
          </w:tblCellMar>
        </w:tblPrEx>
        <w:trPr>
          <w:trHeight w:val="1206"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Web 前端开发基础</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了解</w:t>
            </w:r>
            <w:r>
              <w:rPr>
                <w:rFonts w:hint="eastAsia" w:ascii="仿宋" w:hAnsi="仿宋" w:eastAsia="仿宋" w:cs="仿宋"/>
                <w:color w:val="000000"/>
                <w:kern w:val="0"/>
                <w:sz w:val="24"/>
                <w:szCs w:val="24"/>
                <w:highlight w:val="none"/>
                <w:lang w:eastAsia="zh-CN" w:bidi="ar"/>
              </w:rPr>
              <w:t>Web 前端开发的相关技术与方法，系统培养</w:t>
            </w:r>
            <w:r>
              <w:rPr>
                <w:rFonts w:hint="eastAsia" w:ascii="仿宋" w:hAnsi="仿宋" w:eastAsia="仿宋" w:cs="仿宋"/>
                <w:color w:val="000000"/>
                <w:kern w:val="0"/>
                <w:sz w:val="24"/>
                <w:szCs w:val="24"/>
                <w:highlight w:val="none"/>
                <w:lang w:val="en-US" w:eastAsia="zh-CN" w:bidi="ar"/>
              </w:rPr>
              <w:t>学生</w:t>
            </w:r>
            <w:r>
              <w:rPr>
                <w:rFonts w:hint="eastAsia" w:ascii="仿宋" w:hAnsi="仿宋" w:eastAsia="仿宋" w:cs="仿宋"/>
                <w:color w:val="000000"/>
                <w:kern w:val="0"/>
                <w:sz w:val="24"/>
                <w:szCs w:val="24"/>
                <w:highlight w:val="none"/>
                <w:lang w:eastAsia="zh-CN" w:bidi="ar"/>
              </w:rPr>
              <w:t>Web前端开发所需要的能力，同时将必需的知识融入网页制作过程之中。</w:t>
            </w:r>
          </w:p>
        </w:tc>
      </w:tr>
      <w:tr>
        <w:tblPrEx>
          <w:tblCellMar>
            <w:top w:w="0" w:type="dxa"/>
            <w:left w:w="108" w:type="dxa"/>
            <w:bottom w:w="0" w:type="dxa"/>
            <w:right w:w="108" w:type="dxa"/>
          </w:tblCellMar>
        </w:tblPrEx>
        <w:trPr>
          <w:trHeight w:val="839"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网络设备安装与调试</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eastAsia="zh-CN" w:bidi="ar"/>
              </w:rPr>
              <w:t>通过该课程使学生能够具备计算机网络设计、网络组建、设备选型、网络管理和维护等专业技能。</w:t>
            </w:r>
          </w:p>
        </w:tc>
      </w:tr>
      <w:tr>
        <w:tblPrEx>
          <w:tblCellMar>
            <w:top w:w="0" w:type="dxa"/>
            <w:left w:w="108" w:type="dxa"/>
            <w:bottom w:w="0" w:type="dxa"/>
            <w:right w:w="108" w:type="dxa"/>
          </w:tblCellMar>
        </w:tblPrEx>
        <w:trPr>
          <w:trHeight w:val="1294"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Python程序设计</w:t>
            </w:r>
          </w:p>
        </w:tc>
        <w:tc>
          <w:tcPr>
            <w:tcW w:w="5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eastAsia="zh-CN" w:bidi="ar"/>
              </w:rPr>
              <w:t>着眼于培养学生利用计算机解题的思维方式和程序设计的基本功，</w:t>
            </w:r>
            <w:r>
              <w:rPr>
                <w:rFonts w:hint="eastAsia" w:ascii="仿宋" w:hAnsi="仿宋" w:eastAsia="仿宋" w:cs="仿宋"/>
                <w:color w:val="000000"/>
                <w:kern w:val="0"/>
                <w:sz w:val="24"/>
                <w:szCs w:val="24"/>
                <w:highlight w:val="none"/>
                <w:lang w:val="en-US" w:eastAsia="zh-CN" w:bidi="ar"/>
              </w:rPr>
              <w:t>掌握</w:t>
            </w:r>
            <w:r>
              <w:rPr>
                <w:rFonts w:hint="eastAsia" w:ascii="仿宋" w:hAnsi="仿宋" w:eastAsia="仿宋" w:cs="仿宋"/>
                <w:color w:val="000000"/>
                <w:kern w:val="0"/>
                <w:sz w:val="24"/>
                <w:szCs w:val="24"/>
                <w:highlight w:val="none"/>
                <w:lang w:eastAsia="zh-CN" w:bidi="ar"/>
              </w:rPr>
              <w:t>Python程序设计语言及其程序设计的方法与技术。</w:t>
            </w:r>
          </w:p>
        </w:tc>
      </w:tr>
    </w:tbl>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bookmarkStart w:id="39" w:name="_Toc17534"/>
      <w:bookmarkStart w:id="40" w:name="_Toc30599"/>
      <w:r>
        <w:rPr>
          <w:rFonts w:hint="eastAsia" w:ascii="楷体" w:hAnsi="楷体" w:eastAsia="楷体" w:cs="楷体"/>
          <w:b/>
          <w:bCs/>
          <w:color w:val="000000" w:themeColor="text1"/>
          <w:sz w:val="32"/>
          <w:szCs w:val="32"/>
          <w14:textFill>
            <w14:solidFill>
              <w14:schemeClr w14:val="tx1"/>
            </w14:solidFill>
          </w14:textFill>
        </w:rPr>
        <w:t>（三）综合素养课程</w:t>
      </w:r>
      <w:bookmarkEnd w:id="39"/>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综合素养课程见表1-6。</w:t>
      </w:r>
    </w:p>
    <w:p>
      <w:pPr>
        <w:numPr>
          <w:ilvl w:val="0"/>
          <w:numId w:val="0"/>
        </w:numPr>
        <w:spacing w:line="560" w:lineRule="exact"/>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p>
    <w:p>
      <w:pPr>
        <w:numPr>
          <w:ilvl w:val="0"/>
          <w:numId w:val="0"/>
        </w:numPr>
        <w:spacing w:line="560" w:lineRule="exact"/>
        <w:jc w:val="left"/>
        <w:rPr>
          <w:rFonts w:hint="eastAsia" w:ascii="楷体" w:hAnsi="楷体" w:eastAsia="楷体" w:cs="楷体"/>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表1-6                     综合素养课程</w:t>
      </w:r>
    </w:p>
    <w:tbl>
      <w:tblPr>
        <w:tblStyle w:val="10"/>
        <w:tblW w:w="8618" w:type="dxa"/>
        <w:jc w:val="center"/>
        <w:tblLayout w:type="autofit"/>
        <w:tblCellMar>
          <w:top w:w="0" w:type="dxa"/>
          <w:left w:w="108" w:type="dxa"/>
          <w:bottom w:w="0" w:type="dxa"/>
          <w:right w:w="108" w:type="dxa"/>
        </w:tblCellMar>
      </w:tblPr>
      <w:tblGrid>
        <w:gridCol w:w="776"/>
        <w:gridCol w:w="1790"/>
        <w:gridCol w:w="6052"/>
      </w:tblGrid>
      <w:tr>
        <w:tblPrEx>
          <w:tblCellMar>
            <w:top w:w="0" w:type="dxa"/>
            <w:left w:w="108" w:type="dxa"/>
            <w:bottom w:w="0" w:type="dxa"/>
            <w:right w:w="108" w:type="dxa"/>
          </w:tblCellMar>
        </w:tblPrEx>
        <w:trPr>
          <w:trHeight w:val="502"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804"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入学教育与</w:t>
            </w:r>
            <w:r>
              <w:rPr>
                <w:rFonts w:hint="eastAsia" w:ascii="仿宋" w:hAnsi="仿宋" w:eastAsia="仿宋" w:cs="仿宋"/>
                <w:color w:val="000000"/>
                <w:kern w:val="0"/>
                <w:sz w:val="24"/>
                <w:szCs w:val="24"/>
                <w:lang w:bidi="ar"/>
              </w:rPr>
              <w:t>军训</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通过专题学习，使学生</w:t>
            </w:r>
            <w:r>
              <w:rPr>
                <w:rFonts w:hint="eastAsia" w:ascii="仿宋" w:hAnsi="仿宋" w:eastAsia="仿宋" w:cs="仿宋"/>
                <w:color w:val="000000"/>
                <w:kern w:val="0"/>
                <w:sz w:val="24"/>
                <w:szCs w:val="24"/>
                <w:lang w:bidi="ar"/>
              </w:rPr>
              <w:t>了解基本军事知识，熟知基本军事技能。</w:t>
            </w:r>
          </w:p>
        </w:tc>
      </w:tr>
      <w:tr>
        <w:tblPrEx>
          <w:tblCellMar>
            <w:top w:w="0" w:type="dxa"/>
            <w:left w:w="108" w:type="dxa"/>
            <w:bottom w:w="0" w:type="dxa"/>
            <w:right w:w="108" w:type="dxa"/>
          </w:tblCellMar>
        </w:tblPrEx>
        <w:trPr>
          <w:trHeight w:val="791"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创新创业教育</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w:t>
            </w:r>
            <w:r>
              <w:rPr>
                <w:rFonts w:ascii="仿宋" w:hAnsi="仿宋" w:eastAsia="仿宋" w:cs="仿宋"/>
                <w:color w:val="000000"/>
                <w:kern w:val="0"/>
                <w:sz w:val="24"/>
                <w:szCs w:val="24"/>
                <w:lang w:bidi="ar"/>
              </w:rPr>
              <w:t>对学生进行创新思维培养和创业能力锻炼，</w:t>
            </w:r>
            <w:r>
              <w:rPr>
                <w:rFonts w:hint="eastAsia" w:ascii="仿宋" w:hAnsi="仿宋" w:eastAsia="仿宋" w:cs="仿宋"/>
                <w:color w:val="000000"/>
                <w:kern w:val="0"/>
                <w:sz w:val="24"/>
                <w:szCs w:val="24"/>
                <w:lang w:bidi="ar"/>
              </w:rPr>
              <w:t>培养学生的创业技能与开拓创新精神。</w:t>
            </w:r>
          </w:p>
        </w:tc>
      </w:tr>
      <w:tr>
        <w:tblPrEx>
          <w:tblCellMar>
            <w:top w:w="0" w:type="dxa"/>
            <w:left w:w="108" w:type="dxa"/>
            <w:bottom w:w="0" w:type="dxa"/>
            <w:right w:w="108" w:type="dxa"/>
          </w:tblCellMar>
        </w:tblPrEx>
        <w:trPr>
          <w:trHeight w:val="1218"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就业指导</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w:t>
            </w:r>
            <w:r>
              <w:rPr>
                <w:rFonts w:hint="eastAsia" w:ascii="仿宋" w:hAnsi="仿宋" w:eastAsia="仿宋" w:cs="仿宋"/>
                <w:color w:val="000000"/>
                <w:kern w:val="0"/>
                <w:sz w:val="24"/>
                <w:szCs w:val="24"/>
                <w:lang w:val="en-US" w:eastAsia="zh-CN" w:bidi="ar"/>
              </w:rPr>
              <w:t>专题学习</w:t>
            </w:r>
            <w:r>
              <w:rPr>
                <w:rFonts w:hint="eastAsia" w:ascii="仿宋" w:hAnsi="仿宋" w:eastAsia="仿宋" w:cs="仿宋"/>
                <w:color w:val="000000"/>
                <w:kern w:val="0"/>
                <w:sz w:val="24"/>
                <w:szCs w:val="24"/>
                <w:lang w:bidi="ar"/>
              </w:rPr>
              <w:t>，引导学生了解职场、了解职业，树立准职业人的身份意识。激发</w:t>
            </w:r>
            <w:r>
              <w:rPr>
                <w:rFonts w:hint="eastAsia" w:ascii="仿宋" w:hAnsi="仿宋" w:eastAsia="仿宋" w:cs="仿宋"/>
                <w:color w:val="000000"/>
                <w:kern w:val="0"/>
                <w:sz w:val="24"/>
                <w:szCs w:val="24"/>
                <w:lang w:val="en-US" w:eastAsia="zh-CN" w:bidi="ar"/>
              </w:rPr>
              <w:t>学生</w:t>
            </w:r>
            <w:r>
              <w:rPr>
                <w:rFonts w:hint="eastAsia" w:ascii="仿宋" w:hAnsi="仿宋" w:eastAsia="仿宋" w:cs="仿宋"/>
                <w:color w:val="000000"/>
                <w:kern w:val="0"/>
                <w:sz w:val="24"/>
                <w:szCs w:val="24"/>
                <w:lang w:bidi="ar"/>
              </w:rPr>
              <w:t>全面提高自身素质的积极性和自觉性,养成良好的职业道德。</w:t>
            </w:r>
          </w:p>
        </w:tc>
      </w:tr>
      <w:tr>
        <w:tblPrEx>
          <w:tblCellMar>
            <w:top w:w="0" w:type="dxa"/>
            <w:left w:w="108" w:type="dxa"/>
            <w:bottom w:w="0" w:type="dxa"/>
            <w:right w:w="108" w:type="dxa"/>
          </w:tblCellMar>
        </w:tblPrEx>
        <w:trPr>
          <w:trHeight w:val="1606"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职业能力</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通过专题学习，使学生具备</w:t>
            </w:r>
            <w:r>
              <w:rPr>
                <w:rFonts w:hint="eastAsia" w:ascii="仿宋" w:hAnsi="仿宋" w:eastAsia="仿宋" w:cs="仿宋"/>
                <w:color w:val="000000"/>
                <w:kern w:val="0"/>
                <w:sz w:val="24"/>
                <w:szCs w:val="24"/>
                <w:lang w:bidi="ar"/>
              </w:rPr>
              <w:t>综合素质（科技常识、人文常识等）、职业核心能力（自我学习、信息处理、数字应用等）和职业社会能力（沟通交流、团队合作、解决问题、创新能力、心理健康、语言应用等）。</w:t>
            </w:r>
          </w:p>
        </w:tc>
      </w:tr>
      <w:tr>
        <w:tblPrEx>
          <w:tblCellMar>
            <w:top w:w="0" w:type="dxa"/>
            <w:left w:w="108" w:type="dxa"/>
            <w:bottom w:w="0" w:type="dxa"/>
            <w:right w:w="108" w:type="dxa"/>
          </w:tblCellMar>
        </w:tblPrEx>
        <w:trPr>
          <w:trHeight w:val="819"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人际关系与沟通技巧</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w:t>
            </w:r>
            <w:r>
              <w:rPr>
                <w:rFonts w:hint="eastAsia" w:ascii="仿宋" w:hAnsi="仿宋" w:eastAsia="仿宋" w:cs="仿宋"/>
                <w:color w:val="000000"/>
                <w:kern w:val="0"/>
                <w:sz w:val="24"/>
                <w:szCs w:val="24"/>
                <w:lang w:val="en-US" w:eastAsia="zh-CN" w:bidi="ar"/>
              </w:rPr>
              <w:t>专题学习</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使学生</w:t>
            </w:r>
            <w:r>
              <w:rPr>
                <w:rFonts w:hint="eastAsia" w:ascii="仿宋" w:hAnsi="仿宋" w:eastAsia="仿宋" w:cs="仿宋"/>
                <w:color w:val="000000"/>
                <w:kern w:val="0"/>
                <w:sz w:val="24"/>
                <w:szCs w:val="24"/>
                <w:lang w:bidi="ar"/>
              </w:rPr>
              <w:t>了解人际关系，掌握沟通技巧，实现有效沟通。</w:t>
            </w:r>
          </w:p>
        </w:tc>
      </w:tr>
    </w:tbl>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bookmarkStart w:id="41" w:name="_Toc32707"/>
      <w:bookmarkStart w:id="42" w:name="_Toc18187"/>
      <w:r>
        <w:rPr>
          <w:rFonts w:hint="eastAsia" w:ascii="楷体" w:hAnsi="楷体" w:eastAsia="楷体" w:cs="楷体"/>
          <w:b/>
          <w:bCs/>
          <w:color w:val="000000" w:themeColor="text1"/>
          <w:sz w:val="32"/>
          <w:szCs w:val="32"/>
          <w14:textFill>
            <w14:solidFill>
              <w14:schemeClr w14:val="tx1"/>
            </w14:solidFill>
          </w14:textFill>
        </w:rPr>
        <w:t>（四）资格认证课程</w:t>
      </w:r>
      <w:bookmarkEnd w:id="41"/>
      <w:bookmarkEnd w:id="4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资格认证课程见表1-7。</w:t>
      </w:r>
    </w:p>
    <w:p>
      <w:pPr>
        <w:numPr>
          <w:ilvl w:val="0"/>
          <w:numId w:val="0"/>
        </w:numPr>
        <w:spacing w:line="560" w:lineRule="exact"/>
        <w:jc w:val="left"/>
        <w:rPr>
          <w:rFonts w:hint="eastAsia" w:ascii="楷体" w:hAnsi="楷体" w:eastAsia="楷体" w:cs="楷体"/>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表1-7                    资格认证课程</w:t>
      </w:r>
    </w:p>
    <w:tbl>
      <w:tblPr>
        <w:tblStyle w:val="10"/>
        <w:tblW w:w="8598" w:type="dxa"/>
        <w:jc w:val="center"/>
        <w:tblLayout w:type="autofit"/>
        <w:tblCellMar>
          <w:top w:w="0" w:type="dxa"/>
          <w:left w:w="108" w:type="dxa"/>
          <w:bottom w:w="0" w:type="dxa"/>
          <w:right w:w="108" w:type="dxa"/>
        </w:tblCellMar>
      </w:tblPr>
      <w:tblGrid>
        <w:gridCol w:w="3214"/>
        <w:gridCol w:w="3219"/>
        <w:gridCol w:w="2165"/>
      </w:tblGrid>
      <w:tr>
        <w:tblPrEx>
          <w:tblCellMar>
            <w:top w:w="0" w:type="dxa"/>
            <w:left w:w="108" w:type="dxa"/>
            <w:bottom w:w="0" w:type="dxa"/>
            <w:right w:w="108" w:type="dxa"/>
          </w:tblCellMar>
        </w:tblPrEx>
        <w:trPr>
          <w:trHeight w:val="401" w:hRule="atLeast"/>
          <w:jc w:val="center"/>
        </w:trPr>
        <w:tc>
          <w:tcPr>
            <w:tcW w:w="321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证书名称</w:t>
            </w:r>
          </w:p>
        </w:tc>
        <w:tc>
          <w:tcPr>
            <w:tcW w:w="321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颁发机构</w:t>
            </w:r>
          </w:p>
        </w:tc>
        <w:tc>
          <w:tcPr>
            <w:tcW w:w="21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bidi="ar"/>
              </w:rPr>
              <w:t>课程</w:t>
            </w:r>
            <w:r>
              <w:rPr>
                <w:rFonts w:hint="eastAsia" w:ascii="仿宋" w:hAnsi="仿宋" w:eastAsia="仿宋" w:cs="仿宋"/>
                <w:b/>
                <w:bCs/>
                <w:color w:val="000000"/>
                <w:kern w:val="0"/>
                <w:sz w:val="24"/>
                <w:szCs w:val="24"/>
                <w:lang w:val="en-US" w:eastAsia="zh-CN" w:bidi="ar"/>
              </w:rPr>
              <w:t>名称</w:t>
            </w:r>
          </w:p>
        </w:tc>
      </w:tr>
      <w:tr>
        <w:tblPrEx>
          <w:tblCellMar>
            <w:top w:w="0" w:type="dxa"/>
            <w:left w:w="108" w:type="dxa"/>
            <w:bottom w:w="0" w:type="dxa"/>
            <w:right w:w="108" w:type="dxa"/>
          </w:tblCellMar>
        </w:tblPrEx>
        <w:trPr>
          <w:trHeight w:val="401" w:hRule="atLeast"/>
          <w:jc w:val="center"/>
        </w:trPr>
        <w:tc>
          <w:tcPr>
            <w:tcW w:w="321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kern w:val="0"/>
                <w:sz w:val="24"/>
                <w:szCs w:val="24"/>
                <w:lang w:bidi="ar"/>
              </w:rPr>
              <w:t>全国计算机等级考试（一级）</w:t>
            </w:r>
          </w:p>
        </w:tc>
        <w:tc>
          <w:tcPr>
            <w:tcW w:w="321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教育部考试中心</w:t>
            </w:r>
          </w:p>
        </w:tc>
        <w:tc>
          <w:tcPr>
            <w:tcW w:w="21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sz w:val="24"/>
                <w:szCs w:val="24"/>
              </w:rPr>
              <w:t>信息技术</w:t>
            </w:r>
          </w:p>
        </w:tc>
      </w:tr>
      <w:tr>
        <w:tblPrEx>
          <w:tblCellMar>
            <w:top w:w="0" w:type="dxa"/>
            <w:left w:w="108" w:type="dxa"/>
            <w:bottom w:w="0" w:type="dxa"/>
            <w:right w:w="108" w:type="dxa"/>
          </w:tblCellMar>
        </w:tblPrEx>
        <w:trPr>
          <w:trHeight w:val="401" w:hRule="atLeast"/>
          <w:jc w:val="center"/>
        </w:trPr>
        <w:tc>
          <w:tcPr>
            <w:tcW w:w="321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bidi="ar"/>
              </w:rPr>
              <w:t>全国计算机等级考试（</w:t>
            </w:r>
            <w:r>
              <w:rPr>
                <w:rFonts w:hint="eastAsia" w:ascii="仿宋" w:hAnsi="仿宋" w:eastAsia="仿宋" w:cs="仿宋"/>
                <w:color w:val="000000"/>
                <w:kern w:val="0"/>
                <w:sz w:val="24"/>
                <w:szCs w:val="24"/>
                <w:lang w:val="en-US" w:eastAsia="zh-CN" w:bidi="ar"/>
              </w:rPr>
              <w:t>二</w:t>
            </w:r>
            <w:r>
              <w:rPr>
                <w:rFonts w:hint="eastAsia" w:ascii="仿宋" w:hAnsi="仿宋" w:eastAsia="仿宋" w:cs="仿宋"/>
                <w:color w:val="000000"/>
                <w:kern w:val="0"/>
                <w:sz w:val="24"/>
                <w:szCs w:val="24"/>
                <w:lang w:bidi="ar"/>
              </w:rPr>
              <w:t>级）</w:t>
            </w:r>
          </w:p>
        </w:tc>
        <w:tc>
          <w:tcPr>
            <w:tcW w:w="321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教育部考试中心</w:t>
            </w:r>
          </w:p>
        </w:tc>
        <w:tc>
          <w:tcPr>
            <w:tcW w:w="21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color w:val="000000"/>
                <w:sz w:val="24"/>
                <w:szCs w:val="24"/>
                <w:lang w:val="en-US" w:eastAsia="zh-CN"/>
              </w:rPr>
              <w:t>计算机基础</w:t>
            </w:r>
          </w:p>
        </w:tc>
      </w:tr>
      <w:tr>
        <w:tblPrEx>
          <w:tblCellMar>
            <w:top w:w="0" w:type="dxa"/>
            <w:left w:w="108" w:type="dxa"/>
            <w:bottom w:w="0" w:type="dxa"/>
            <w:right w:w="108" w:type="dxa"/>
          </w:tblCellMar>
        </w:tblPrEx>
        <w:trPr>
          <w:trHeight w:val="410" w:hRule="atLeast"/>
          <w:jc w:val="center"/>
        </w:trPr>
        <w:tc>
          <w:tcPr>
            <w:tcW w:w="32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普通话</w:t>
            </w:r>
          </w:p>
        </w:tc>
        <w:tc>
          <w:tcPr>
            <w:tcW w:w="321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aps w:val="0"/>
                <w:color w:val="333333"/>
                <w:spacing w:val="0"/>
                <w:sz w:val="24"/>
                <w:szCs w:val="24"/>
                <w:shd w:val="clear" w:fill="FFFFFF"/>
              </w:rPr>
              <w:t>国家语言文字工作委员会</w:t>
            </w:r>
          </w:p>
        </w:tc>
        <w:tc>
          <w:tcPr>
            <w:tcW w:w="21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语文</w:t>
            </w:r>
          </w:p>
        </w:tc>
      </w:tr>
    </w:tbl>
    <w:p>
      <w:pPr>
        <w:spacing w:line="560" w:lineRule="exact"/>
        <w:ind w:firstLine="643" w:firstLineChars="200"/>
        <w:jc w:val="left"/>
        <w:outlineLvl w:val="1"/>
        <w:rPr>
          <w:rFonts w:hint="eastAsia" w:ascii="仿宋" w:hAnsi="仿宋" w:eastAsia="仿宋" w:cs="仿宋"/>
          <w:b w:val="0"/>
          <w:bCs w:val="0"/>
          <w:color w:val="000000" w:themeColor="text1"/>
          <w:sz w:val="32"/>
          <w:szCs w:val="32"/>
          <w14:textFill>
            <w14:solidFill>
              <w14:schemeClr w14:val="tx1"/>
            </w14:solidFill>
          </w14:textFill>
        </w:rPr>
      </w:pPr>
      <w:bookmarkStart w:id="43" w:name="_Toc9861"/>
      <w:bookmarkStart w:id="44" w:name="_Toc5507"/>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五</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实践性教学环节</w:t>
      </w:r>
      <w:bookmarkEnd w:id="43"/>
      <w:bookmarkEnd w:id="44"/>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实践性教学环节主要包括实训、实习、社会实践等。</w:t>
      </w:r>
      <w:r>
        <w:rPr>
          <w:rFonts w:hint="eastAsia" w:ascii="仿宋" w:hAnsi="仿宋" w:eastAsia="仿宋" w:cs="仿宋"/>
          <w:b w:val="0"/>
          <w:bCs w:val="0"/>
          <w:color w:val="000000" w:themeColor="text1"/>
          <w:sz w:val="32"/>
          <w:szCs w:val="32"/>
          <w:lang w:val="zh-CN"/>
          <w14:textFill>
            <w14:solidFill>
              <w14:schemeClr w14:val="tx1"/>
            </w14:solidFill>
          </w14:textFill>
        </w:rPr>
        <w:t>在校内外进行网络建设、图像处理、网页设计等综合实训。在网络技术行业的相关企业进行网站建设实习。</w:t>
      </w:r>
      <w:r>
        <w:rPr>
          <w:rFonts w:hint="eastAsia" w:ascii="仿宋" w:hAnsi="仿宋" w:eastAsia="仿宋" w:cs="仿宋"/>
          <w:b w:val="0"/>
          <w:bCs w:val="0"/>
          <w:color w:val="000000" w:themeColor="text1"/>
          <w:sz w:val="32"/>
          <w:szCs w:val="32"/>
          <w14:textFill>
            <w14:solidFill>
              <w14:schemeClr w14:val="tx1"/>
            </w14:solidFill>
          </w14:textFill>
        </w:rPr>
        <w:t>实训实习既是实践性教学，也是专业课教学的重要内容，应注重理论与实践一体化教学。</w:t>
      </w:r>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岗位实习安排应严格执行《职业学校学生实习管理规定》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岗位实习内容参照</w:t>
      </w:r>
      <w:r>
        <w:rPr>
          <w:rFonts w:hint="eastAsia" w:ascii="仿宋" w:hAnsi="仿宋" w:eastAsia="仿宋" w:cs="仿宋"/>
          <w:b w:val="0"/>
          <w:bCs w:val="0"/>
          <w:color w:val="000000" w:themeColor="text1"/>
          <w:sz w:val="32"/>
          <w:szCs w:val="32"/>
          <w14:textFill>
            <w14:solidFill>
              <w14:schemeClr w14:val="tx1"/>
            </w14:solidFill>
          </w14:textFill>
        </w:rPr>
        <w:t>《职业学校专业(类)岗位实习标准》的有关要求</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57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岗位</w:t>
      </w:r>
      <w:r>
        <w:rPr>
          <w:rFonts w:hint="eastAsia" w:ascii="仿宋" w:hAnsi="仿宋" w:eastAsia="仿宋" w:cs="仿宋"/>
          <w:bCs/>
          <w:color w:val="000000" w:themeColor="text1"/>
          <w:sz w:val="32"/>
          <w:szCs w:val="32"/>
          <w14:textFill>
            <w14:solidFill>
              <w14:schemeClr w14:val="tx1"/>
            </w14:solidFill>
          </w14:textFill>
        </w:rPr>
        <w:t>实习时间</w:t>
      </w:r>
      <w:r>
        <w:rPr>
          <w:rFonts w:hint="eastAsia" w:ascii="仿宋" w:hAnsi="仿宋" w:eastAsia="仿宋" w:cs="仿宋"/>
          <w:bCs/>
          <w:color w:val="000000" w:themeColor="text1"/>
          <w:sz w:val="32"/>
          <w:szCs w:val="32"/>
          <w:lang w:val="en-US" w:eastAsia="zh-CN"/>
          <w14:textFill>
            <w14:solidFill>
              <w14:schemeClr w14:val="tx1"/>
            </w14:solidFill>
          </w14:textFill>
        </w:rPr>
        <w:t>主要</w:t>
      </w:r>
      <w:r>
        <w:rPr>
          <w:rFonts w:hint="eastAsia" w:ascii="仿宋" w:hAnsi="仿宋" w:eastAsia="仿宋" w:cs="仿宋"/>
          <w:bCs/>
          <w:color w:val="000000" w:themeColor="text1"/>
          <w:sz w:val="32"/>
          <w:szCs w:val="32"/>
          <w14:textFill>
            <w14:solidFill>
              <w14:schemeClr w14:val="tx1"/>
            </w14:solidFill>
          </w14:textFill>
        </w:rPr>
        <w:t>安排在第</w:t>
      </w:r>
      <w:r>
        <w:rPr>
          <w:rFonts w:hint="eastAsia" w:ascii="仿宋" w:hAnsi="仿宋" w:eastAsia="仿宋" w:cs="仿宋"/>
          <w:bCs/>
          <w:color w:val="000000" w:themeColor="text1"/>
          <w:sz w:val="32"/>
          <w:szCs w:val="32"/>
          <w:lang w:val="en-US"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学期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第五学期、第六学期</w:t>
      </w:r>
      <w:r>
        <w:rPr>
          <w:rFonts w:hint="eastAsia" w:ascii="仿宋" w:hAnsi="仿宋" w:eastAsia="仿宋" w:cs="仿宋"/>
          <w:bCs/>
          <w:color w:val="000000" w:themeColor="text1"/>
          <w:sz w:val="32"/>
          <w:szCs w:val="32"/>
          <w14:textFill>
            <w14:solidFill>
              <w14:schemeClr w14:val="tx1"/>
            </w14:solidFill>
          </w14:textFill>
        </w:rPr>
        <w:t>。第</w:t>
      </w:r>
      <w:r>
        <w:rPr>
          <w:rFonts w:hint="eastAsia" w:ascii="仿宋" w:hAnsi="仿宋" w:eastAsia="仿宋" w:cs="仿宋"/>
          <w:bCs/>
          <w:color w:val="000000" w:themeColor="text1"/>
          <w:sz w:val="32"/>
          <w:szCs w:val="32"/>
          <w:lang w:val="en-US"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学期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第五学期以校内实训为主，第六学期以校外实习为主。</w:t>
      </w:r>
      <w:r>
        <w:rPr>
          <w:rFonts w:hint="eastAsia" w:ascii="仿宋" w:hAnsi="仿宋" w:eastAsia="仿宋" w:cs="仿宋"/>
          <w:color w:val="000000" w:themeColor="text1"/>
          <w:sz w:val="32"/>
          <w:szCs w:val="32"/>
          <w:lang w:val="en-US" w:eastAsia="zh-CN"/>
          <w14:textFill>
            <w14:solidFill>
              <w14:schemeClr w14:val="tx1"/>
            </w14:solidFill>
          </w14:textFill>
        </w:rPr>
        <w:t>实习实训项目及标准见表1-8。</w:t>
      </w:r>
    </w:p>
    <w:p>
      <w:pPr>
        <w:keepNext w:val="0"/>
        <w:keepLines w:val="0"/>
        <w:pageBreakBefore w:val="0"/>
        <w:widowControl w:val="0"/>
        <w:kinsoku/>
        <w:wordWrap/>
        <w:overflowPunct/>
        <w:topLinePunct w:val="0"/>
        <w:autoSpaceDE/>
        <w:autoSpaceDN/>
        <w:bidi w:val="0"/>
        <w:adjustRightInd/>
        <w:spacing w:line="560" w:lineRule="exact"/>
        <w:ind w:firstLine="570"/>
        <w:jc w:val="left"/>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表1-8                    实习实训项目及标准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717"/>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1"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序号</w:t>
            </w:r>
          </w:p>
        </w:tc>
        <w:tc>
          <w:tcPr>
            <w:tcW w:w="1717"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实习实训项目</w:t>
            </w:r>
          </w:p>
        </w:tc>
        <w:tc>
          <w:tcPr>
            <w:tcW w:w="6290"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达到标准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1"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717"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图形图像处理</w:t>
            </w:r>
          </w:p>
        </w:tc>
        <w:tc>
          <w:tcPr>
            <w:tcW w:w="6290" w:type="dxa"/>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掌握对图像的设计，达到企业对图片处理任务的相关要求。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1"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717"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网页设计</w:t>
            </w:r>
          </w:p>
        </w:tc>
        <w:tc>
          <w:tcPr>
            <w:tcW w:w="6290" w:type="dxa"/>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掌握规划、开发、发布和管理静态网站的专业知识和技能。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1"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717"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Flash</w:t>
            </w:r>
          </w:p>
        </w:tc>
        <w:tc>
          <w:tcPr>
            <w:tcW w:w="6290" w:type="dxa"/>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能熟练完成平面图像设计与制作等工作。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1"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717"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C语言</w:t>
            </w:r>
          </w:p>
        </w:tc>
        <w:tc>
          <w:tcPr>
            <w:tcW w:w="6290" w:type="dxa"/>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掌握C语言基本编程规则，掌握简单的编程设计。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717" w:type="dxa"/>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网络设备安装与调试</w:t>
            </w:r>
          </w:p>
        </w:tc>
        <w:tc>
          <w:tcPr>
            <w:tcW w:w="6290" w:type="dxa"/>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掌握网络的基本结构和组成，路由器和交换机的基本应用，掌握网络中路由器和交换机的高级应用。</w:t>
            </w:r>
          </w:p>
        </w:tc>
      </w:tr>
    </w:tbl>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45" w:name="_Toc26600"/>
      <w:bookmarkStart w:id="46" w:name="_Toc5200"/>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六</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相关要求</w:t>
      </w:r>
      <w:bookmarkEnd w:id="45"/>
      <w:bookmarkEnd w:id="46"/>
    </w:p>
    <w:p>
      <w:pPr>
        <w:numPr>
          <w:ilvl w:val="0"/>
          <w:numId w:val="0"/>
        </w:numPr>
        <w:spacing w:line="560" w:lineRule="exact"/>
        <w:ind w:firstLine="640" w:firstLineChars="200"/>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本专业落实课程思政，推进全员、全过程、全方位育人，实现思想政治教育与技术技能培养的有机统一。开设人际关系与沟通技巧、创新创业教育、就业指导等方面的专题讲座，将志愿服务活动和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劳动</w:t>
      </w:r>
      <w:r>
        <w:rPr>
          <w:rFonts w:hint="eastAsia" w:ascii="仿宋" w:hAnsi="仿宋" w:eastAsia="仿宋" w:cs="仿宋"/>
          <w:b w:val="0"/>
          <w:bCs w:val="0"/>
          <w:color w:val="000000" w:themeColor="text1"/>
          <w:sz w:val="32"/>
          <w:szCs w:val="32"/>
          <w14:textFill>
            <w14:solidFill>
              <w14:schemeClr w14:val="tx1"/>
            </w14:solidFill>
          </w14:textFill>
        </w:rPr>
        <w:t>实践活动融入有关实践性教学环节中。</w:t>
      </w:r>
    </w:p>
    <w:p>
      <w:pPr>
        <w:numPr>
          <w:ilvl w:val="0"/>
          <w:numId w:val="0"/>
        </w:num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47" w:name="_Toc31348"/>
      <w:bookmarkStart w:id="48" w:name="_Toc5183"/>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教学进程总体安排</w:t>
      </w:r>
      <w:bookmarkEnd w:id="47"/>
      <w:bookmarkEnd w:id="48"/>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教学进程总体安排表见表1-9。</w:t>
      </w:r>
    </w:p>
    <w:p>
      <w:pPr>
        <w:spacing w:line="560" w:lineRule="exact"/>
        <w:jc w:val="left"/>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表1-9                  </w:t>
      </w:r>
      <w:r>
        <w:rPr>
          <w:rFonts w:hint="eastAsia" w:ascii="仿宋" w:hAnsi="仿宋" w:eastAsia="仿宋" w:cs="仿宋"/>
          <w:b w:val="0"/>
          <w:bCs w:val="0"/>
          <w:color w:val="000000" w:themeColor="text1"/>
          <w:sz w:val="28"/>
          <w:szCs w:val="28"/>
          <w14:textFill>
            <w14:solidFill>
              <w14:schemeClr w14:val="tx1"/>
            </w14:solidFill>
          </w14:textFill>
        </w:rPr>
        <w:t>教学进程总体安排表</w:t>
      </w:r>
    </w:p>
    <w:tbl>
      <w:tblPr>
        <w:tblW w:w="84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21"/>
        <w:gridCol w:w="475"/>
        <w:gridCol w:w="656"/>
        <w:gridCol w:w="572"/>
        <w:gridCol w:w="1937"/>
        <w:gridCol w:w="793"/>
        <w:gridCol w:w="590"/>
        <w:gridCol w:w="537"/>
        <w:gridCol w:w="572"/>
        <w:gridCol w:w="546"/>
        <w:gridCol w:w="572"/>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5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bookmarkStart w:id="49" w:name="_Toc23920"/>
            <w:bookmarkStart w:id="50" w:name="_Toc1396"/>
            <w:r>
              <w:rPr>
                <w:rFonts w:hint="eastAsia" w:ascii="仿宋" w:hAnsi="仿宋" w:eastAsia="仿宋" w:cs="仿宋"/>
                <w:b/>
                <w:bCs/>
                <w:i w:val="0"/>
                <w:iCs w:val="0"/>
                <w:color w:val="000000"/>
                <w:kern w:val="0"/>
                <w:sz w:val="22"/>
                <w:szCs w:val="22"/>
                <w:u w:val="none"/>
                <w:bdr w:val="none" w:color="auto" w:sz="0" w:space="0"/>
                <w:lang w:val="en-US" w:eastAsia="zh-CN" w:bidi="ar"/>
              </w:rPr>
              <w:t>课程类别</w:t>
            </w:r>
          </w:p>
        </w:tc>
        <w:tc>
          <w:tcPr>
            <w:tcW w:w="54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课程</w:t>
            </w:r>
            <w:r>
              <w:rPr>
                <w:rFonts w:hint="eastAsia" w:ascii="仿宋" w:hAnsi="仿宋" w:eastAsia="仿宋" w:cs="仿宋"/>
                <w:b/>
                <w:bCs/>
                <w:i w:val="0"/>
                <w:iCs w:val="0"/>
                <w:color w:val="000000"/>
                <w:kern w:val="0"/>
                <w:sz w:val="22"/>
                <w:szCs w:val="22"/>
                <w:u w:val="none"/>
                <w:bdr w:val="none" w:color="auto" w:sz="0" w:space="0"/>
                <w:lang w:val="en-US" w:eastAsia="zh-CN" w:bidi="ar"/>
              </w:rPr>
              <w:br w:type="textWrapping"/>
            </w:r>
            <w:r>
              <w:rPr>
                <w:rFonts w:hint="eastAsia" w:ascii="仿宋" w:hAnsi="仿宋" w:eastAsia="仿宋" w:cs="仿宋"/>
                <w:b/>
                <w:bCs/>
                <w:i w:val="0"/>
                <w:iCs w:val="0"/>
                <w:color w:val="000000"/>
                <w:kern w:val="0"/>
                <w:sz w:val="22"/>
                <w:szCs w:val="22"/>
                <w:u w:val="none"/>
                <w:bdr w:val="none" w:color="auto" w:sz="0" w:space="0"/>
                <w:lang w:val="en-US" w:eastAsia="zh-CN" w:bidi="ar"/>
              </w:rPr>
              <w:t>性质</w:t>
            </w:r>
          </w:p>
        </w:tc>
        <w:tc>
          <w:tcPr>
            <w:tcW w:w="5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序号</w:t>
            </w:r>
          </w:p>
        </w:tc>
        <w:tc>
          <w:tcPr>
            <w:tcW w:w="206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课程名称</w:t>
            </w:r>
          </w:p>
        </w:tc>
        <w:tc>
          <w:tcPr>
            <w:tcW w:w="8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总学时</w:t>
            </w:r>
          </w:p>
        </w:tc>
        <w:tc>
          <w:tcPr>
            <w:tcW w:w="3494"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周课时安排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0"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b/>
                <w:bCs/>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b/>
                <w:bCs/>
                <w:i w:val="0"/>
                <w:iCs w:val="0"/>
                <w:color w:val="000000"/>
                <w:sz w:val="22"/>
                <w:szCs w:val="22"/>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b/>
                <w:bCs/>
                <w:i w:val="0"/>
                <w:iCs w:val="0"/>
                <w:color w:val="000000"/>
                <w:sz w:val="22"/>
                <w:szCs w:val="22"/>
                <w:u w:val="none"/>
              </w:rPr>
            </w:pPr>
          </w:p>
        </w:tc>
        <w:tc>
          <w:tcPr>
            <w:tcW w:w="206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b/>
                <w:bCs/>
                <w:i w:val="0"/>
                <w:iCs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第一学期</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第二学期</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第三学期</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第四学期</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第五学期</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第六学期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95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公共基础课程</w:t>
            </w:r>
          </w:p>
        </w:tc>
        <w:tc>
          <w:tcPr>
            <w:tcW w:w="54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必修</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数学</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354</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语文</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354</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英语</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272</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信息技术</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中国特色社会主义</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心理健康与职业生涯</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哲学与人生</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职业道德与法治</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体育与健康</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190</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历史</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音乐欣赏</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礼乐修身</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美术欣赏</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书法</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公共基础课程小计</w:t>
            </w:r>
          </w:p>
        </w:tc>
        <w:tc>
          <w:tcPr>
            <w:tcW w:w="809"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1458</w:t>
            </w:r>
          </w:p>
        </w:tc>
        <w:tc>
          <w:tcPr>
            <w:tcW w:w="60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549"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559"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58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602"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9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专业(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技能)</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课程</w:t>
            </w:r>
          </w:p>
        </w:tc>
        <w:tc>
          <w:tcPr>
            <w:tcW w:w="364"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专业理论课程</w:t>
            </w:r>
          </w:p>
        </w:tc>
        <w:tc>
          <w:tcPr>
            <w:tcW w:w="54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必修</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计算机基础</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308</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计算机网络基础</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154</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计算机组装与维修</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综合布线设计与施工</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网络信息安全基础</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数据库原理与应用技术</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专业实训课程</w:t>
            </w:r>
          </w:p>
        </w:tc>
        <w:tc>
          <w:tcPr>
            <w:tcW w:w="548" w:type="dxa"/>
            <w:vMerge w:val="restart"/>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必修</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网页设计与制作</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编程语言基础——C#语言</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Web 前端开发基础</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网络设备安装与调试</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4"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图像图像处理</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6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Python程序设计</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608" w:type="dxa"/>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588" w:type="dxa"/>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59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562"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专业(技能)课程小计</w:t>
            </w:r>
          </w:p>
        </w:tc>
        <w:tc>
          <w:tcPr>
            <w:tcW w:w="809"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1274</w:t>
            </w:r>
          </w:p>
        </w:tc>
        <w:tc>
          <w:tcPr>
            <w:tcW w:w="608"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549"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588"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559"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588"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602"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955" w:type="dxa"/>
            <w:gridSpan w:val="2"/>
            <w:vMerge w:val="restart"/>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综合素养课程</w:t>
            </w:r>
          </w:p>
        </w:tc>
        <w:tc>
          <w:tcPr>
            <w:tcW w:w="548"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必修</w:t>
            </w: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职业能力</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入学教育与军训</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8"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55" w:type="dxa"/>
            <w:gridSpan w:val="2"/>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人际关系与沟通技巧</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讲座</w:t>
            </w: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955" w:type="dxa"/>
            <w:gridSpan w:val="2"/>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创新创业教育</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讲座</w:t>
            </w: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 w:hRule="atLeast"/>
        </w:trPr>
        <w:tc>
          <w:tcPr>
            <w:tcW w:w="955" w:type="dxa"/>
            <w:gridSpan w:val="2"/>
            <w:vMerge w:val="continue"/>
            <w:tcBorders>
              <w:top w:val="nil"/>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2062"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就业指导</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53"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岗位实习</w:t>
            </w:r>
          </w:p>
        </w:tc>
        <w:tc>
          <w:tcPr>
            <w:tcW w:w="8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540</w:t>
            </w:r>
          </w:p>
        </w:tc>
        <w:tc>
          <w:tcPr>
            <w:tcW w:w="60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88" w:type="dxa"/>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5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88"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602"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153" w:type="dxa"/>
            <w:gridSpan w:val="5"/>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周课时合计</w:t>
            </w:r>
          </w:p>
        </w:tc>
        <w:tc>
          <w:tcPr>
            <w:tcW w:w="809"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3364</w:t>
            </w:r>
          </w:p>
        </w:tc>
        <w:tc>
          <w:tcPr>
            <w:tcW w:w="60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w:t>
            </w:r>
          </w:p>
        </w:tc>
        <w:tc>
          <w:tcPr>
            <w:tcW w:w="549"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w:t>
            </w:r>
          </w:p>
        </w:tc>
        <w:tc>
          <w:tcPr>
            <w:tcW w:w="58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559"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58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c>
          <w:tcPr>
            <w:tcW w:w="602"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资格认证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必修</w:t>
            </w:r>
          </w:p>
        </w:tc>
        <w:tc>
          <w:tcPr>
            <w:tcW w:w="58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全国计算机等级考试（一级）</w:t>
            </w:r>
          </w:p>
        </w:tc>
        <w:tc>
          <w:tcPr>
            <w:tcW w:w="809"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普通话</w:t>
            </w:r>
          </w:p>
        </w:tc>
        <w:tc>
          <w:tcPr>
            <w:tcW w:w="809"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全国计算机等级考试（二级）</w:t>
            </w:r>
          </w:p>
        </w:tc>
        <w:tc>
          <w:tcPr>
            <w:tcW w:w="809"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549"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559"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2"/>
                <w:szCs w:val="22"/>
                <w:u w:val="none"/>
              </w:rPr>
            </w:pPr>
          </w:p>
        </w:tc>
        <w:tc>
          <w:tcPr>
            <w:tcW w:w="602" w:type="dxa"/>
            <w:tcBorders>
              <w:top w:val="single" w:color="000000" w:sz="4" w:space="0"/>
              <w:left w:val="single" w:color="000000" w:sz="4" w:space="0"/>
              <w:bottom w:val="single" w:color="000000" w:sz="4" w:space="0"/>
              <w:right w:val="single" w:color="000000" w:sz="4" w:space="0"/>
            </w:tcBorders>
            <w:shd w:val="clear"/>
            <w:vAlign w:val="bottom"/>
          </w:tcPr>
          <w:p>
            <w:pPr>
              <w:jc w:val="center"/>
              <w:rPr>
                <w:rFonts w:hint="eastAsia" w:ascii="仿宋" w:hAnsi="仿宋" w:eastAsia="仿宋" w:cs="仿宋"/>
                <w:i w:val="0"/>
                <w:iCs w:val="0"/>
                <w:color w:val="000000"/>
                <w:sz w:val="22"/>
                <w:szCs w:val="22"/>
                <w:u w:val="none"/>
              </w:rPr>
            </w:pPr>
          </w:p>
        </w:tc>
      </w:tr>
    </w:tbl>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、实</w:t>
      </w:r>
      <w:bookmarkStart w:id="103" w:name="_GoBack"/>
      <w:bookmarkEnd w:id="103"/>
      <w:r>
        <w:rPr>
          <w:rFonts w:hint="eastAsia" w:ascii="黑体" w:hAnsi="黑体" w:eastAsia="黑体" w:cs="黑体"/>
          <w:color w:val="000000" w:themeColor="text1"/>
          <w:sz w:val="32"/>
          <w:szCs w:val="32"/>
          <w14:textFill>
            <w14:solidFill>
              <w14:schemeClr w14:val="tx1"/>
            </w14:solidFill>
          </w14:textFill>
        </w:rPr>
        <w:t>施保障</w:t>
      </w:r>
      <w:bookmarkEnd w:id="49"/>
      <w:bookmarkEnd w:id="50"/>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51" w:name="_Toc24110"/>
      <w:bookmarkStart w:id="52" w:name="_Toc21958"/>
      <w:r>
        <w:rPr>
          <w:rFonts w:hint="eastAsia" w:ascii="楷体" w:hAnsi="楷体" w:eastAsia="楷体" w:cs="楷体"/>
          <w:b/>
          <w:bCs/>
          <w:color w:val="000000" w:themeColor="text1"/>
          <w:sz w:val="32"/>
          <w:szCs w:val="32"/>
          <w14:textFill>
            <w14:solidFill>
              <w14:schemeClr w14:val="tx1"/>
            </w14:solidFill>
          </w14:textFill>
        </w:rPr>
        <w:t>（一）师资队伍</w:t>
      </w:r>
      <w:bookmarkEnd w:id="51"/>
      <w:bookmarkEnd w:id="52"/>
    </w:p>
    <w:p>
      <w:pPr>
        <w:spacing w:line="560" w:lineRule="exact"/>
        <w:ind w:firstLine="570"/>
        <w:jc w:val="left"/>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师资队伍</w:t>
      </w:r>
      <w:r>
        <w:rPr>
          <w:rFonts w:hint="eastAsia" w:ascii="仿宋" w:hAnsi="仿宋" w:eastAsia="仿宋" w:cs="仿宋"/>
          <w:bCs/>
          <w:color w:val="000000" w:themeColor="text1"/>
          <w:sz w:val="32"/>
          <w:szCs w:val="32"/>
          <w14:textFill>
            <w14:solidFill>
              <w14:schemeClr w14:val="tx1"/>
            </w14:solidFill>
          </w14:textFill>
        </w:rPr>
        <w:t>是人才培养方案得以顺利实施的关键。工作过程系统化课程体系的实施需要建立由专业带头人、骨干教师、“双师型”教师、企业技术专家组成的专兼结合教学团队。通过各种形式的培训、业务比赛等措施，建设符合项目式、模块化教学需要的教学创新团队，不断优化教师能力结构，提升教师专业技能水平和教研水平，全面提升教师信息技术应用能力，推动大数据、人工智能、虚拟现实等现代信息技术在教育教学中的广泛应用。积极推动教师角色的转变和教育理念、教学内容、教学方法以及教学评价等方面的改革。</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53" w:name="_Toc32083"/>
      <w:bookmarkStart w:id="54" w:name="_Toc11008"/>
      <w:r>
        <w:rPr>
          <w:rFonts w:hint="eastAsia" w:ascii="仿宋" w:hAnsi="仿宋" w:eastAsia="仿宋" w:cs="仿宋"/>
          <w:b/>
          <w:bCs w:val="0"/>
          <w:color w:val="000000" w:themeColor="text1"/>
          <w:sz w:val="32"/>
          <w:szCs w:val="32"/>
          <w:lang w:val="en-US" w:eastAsia="zh-CN"/>
          <w14:textFill>
            <w14:solidFill>
              <w14:schemeClr w14:val="tx1"/>
            </w14:solidFill>
          </w14:textFill>
        </w:rPr>
        <w:t>1.队伍结构</w:t>
      </w:r>
      <w:bookmarkEnd w:id="53"/>
      <w:bookmarkEnd w:id="54"/>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本专业专任教师数与学生数之比不低于1</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25，</w:t>
      </w:r>
      <w:r>
        <w:rPr>
          <w:rFonts w:hint="eastAsia" w:ascii="仿宋" w:hAnsi="仿宋" w:eastAsia="仿宋" w:cs="仿宋"/>
          <w:bCs/>
          <w:color w:val="000000" w:themeColor="text1"/>
          <w:sz w:val="32"/>
          <w:szCs w:val="32"/>
          <w:lang w:val="en-US" w:eastAsia="zh-CN"/>
          <w14:textFill>
            <w14:solidFill>
              <w14:schemeClr w14:val="tx1"/>
            </w14:solidFill>
          </w14:textFill>
        </w:rPr>
        <w:t>专业课教师中</w:t>
      </w:r>
      <w:r>
        <w:rPr>
          <w:rFonts w:hint="eastAsia" w:ascii="仿宋" w:hAnsi="仿宋" w:eastAsia="仿宋" w:cs="仿宋"/>
          <w:bCs/>
          <w:color w:val="000000" w:themeColor="text1"/>
          <w:sz w:val="32"/>
          <w:szCs w:val="32"/>
          <w14:textFill>
            <w14:solidFill>
              <w14:schemeClr w14:val="tx1"/>
            </w14:solidFill>
          </w14:textFill>
        </w:rPr>
        <w:t>双师素质教师比例</w:t>
      </w:r>
      <w:r>
        <w:rPr>
          <w:rFonts w:hint="eastAsia" w:ascii="仿宋" w:hAnsi="仿宋" w:eastAsia="仿宋" w:cs="仿宋"/>
          <w:bCs/>
          <w:color w:val="000000" w:themeColor="text1"/>
          <w:sz w:val="32"/>
          <w:szCs w:val="32"/>
          <w:lang w:val="en-US" w:eastAsia="zh-CN"/>
          <w14:textFill>
            <w14:solidFill>
              <w14:schemeClr w14:val="tx1"/>
            </w14:solidFill>
          </w14:textFill>
        </w:rPr>
        <w:t>达到100</w:t>
      </w:r>
      <w:r>
        <w:rPr>
          <w:rFonts w:hint="eastAsia" w:ascii="仿宋" w:hAnsi="仿宋" w:eastAsia="仿宋" w:cs="仿宋"/>
          <w:bCs/>
          <w:color w:val="000000" w:themeColor="text1"/>
          <w:sz w:val="32"/>
          <w:szCs w:val="32"/>
          <w14:textFill>
            <w14:solidFill>
              <w14:schemeClr w14:val="tx1"/>
            </w14:solidFill>
          </w14:textFill>
        </w:rPr>
        <w:t>% 。</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55" w:name="_Toc6555"/>
      <w:bookmarkStart w:id="56" w:name="_Toc24402"/>
      <w:r>
        <w:rPr>
          <w:rFonts w:hint="eastAsia" w:ascii="仿宋" w:hAnsi="仿宋" w:eastAsia="仿宋" w:cs="仿宋"/>
          <w:b/>
          <w:bCs w:val="0"/>
          <w:color w:val="000000" w:themeColor="text1"/>
          <w:sz w:val="32"/>
          <w:szCs w:val="32"/>
          <w:lang w:val="en-US" w:eastAsia="zh-CN"/>
          <w14:textFill>
            <w14:solidFill>
              <w14:schemeClr w14:val="tx1"/>
            </w14:solidFill>
          </w14:textFill>
        </w:rPr>
        <w:t>2.专任教师</w:t>
      </w:r>
      <w:bookmarkEnd w:id="55"/>
      <w:bookmarkEnd w:id="56"/>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专任教师应具有中等职业学校教师资格证书</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有理想信念、有道德情操、有扎实学识、有仁爱之心</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具有本科及以上学历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具有扎实的本专业相关理论功底和实践能力</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具有较强</w:t>
      </w:r>
      <w:r>
        <w:rPr>
          <w:rFonts w:hint="eastAsia" w:ascii="仿宋" w:hAnsi="仿宋" w:eastAsia="仿宋" w:cs="仿宋"/>
          <w:bCs/>
          <w:color w:val="000000" w:themeColor="text1"/>
          <w:sz w:val="32"/>
          <w:szCs w:val="32"/>
          <w:lang w:eastAsia="zh-CN"/>
          <w14:textFill>
            <w14:solidFill>
              <w14:schemeClr w14:val="tx1"/>
            </w14:solidFill>
          </w14:textFill>
        </w:rPr>
        <w:t>的</w:t>
      </w:r>
      <w:r>
        <w:rPr>
          <w:rFonts w:hint="eastAsia" w:ascii="仿宋" w:hAnsi="仿宋" w:eastAsia="仿宋" w:cs="仿宋"/>
          <w:bCs/>
          <w:color w:val="000000" w:themeColor="text1"/>
          <w:sz w:val="32"/>
          <w:szCs w:val="32"/>
          <w14:textFill>
            <w14:solidFill>
              <w14:schemeClr w14:val="tx1"/>
            </w14:solidFill>
          </w14:textFill>
        </w:rPr>
        <w:t>信息化教学能力，能够开展课程教学改革和科学研究</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有每5年累计不少于6个月的企业实践经历。</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57" w:name="_Toc18442"/>
      <w:bookmarkStart w:id="58" w:name="_Toc2254"/>
      <w:r>
        <w:rPr>
          <w:rFonts w:hint="eastAsia" w:ascii="仿宋" w:hAnsi="仿宋" w:eastAsia="仿宋" w:cs="仿宋"/>
          <w:b/>
          <w:bCs w:val="0"/>
          <w:color w:val="000000" w:themeColor="text1"/>
          <w:sz w:val="32"/>
          <w:szCs w:val="32"/>
          <w:lang w:val="en-US" w:eastAsia="zh-CN"/>
          <w14:textFill>
            <w14:solidFill>
              <w14:schemeClr w14:val="tx1"/>
            </w14:solidFill>
          </w14:textFill>
        </w:rPr>
        <w:t>3.专业带头人</w:t>
      </w:r>
      <w:bookmarkEnd w:id="57"/>
      <w:bookmarkEnd w:id="58"/>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专业带头人原则上应具有副高级以上职称，能够较好地把握</w:t>
      </w:r>
      <w:r>
        <w:rPr>
          <w:rFonts w:hint="eastAsia" w:ascii="仿宋" w:hAnsi="仿宋" w:eastAsia="仿宋" w:cs="仿宋"/>
          <w:bCs/>
          <w:color w:val="000000" w:themeColor="text1"/>
          <w:sz w:val="32"/>
          <w:szCs w:val="32"/>
          <w:lang w:val="en-US" w:eastAsia="zh-CN"/>
          <w14:textFill>
            <w14:solidFill>
              <w14:schemeClr w14:val="tx1"/>
            </w14:solidFill>
          </w14:textFill>
        </w:rPr>
        <w:t>本专业</w:t>
      </w:r>
      <w:r>
        <w:rPr>
          <w:rFonts w:hint="eastAsia" w:ascii="仿宋" w:hAnsi="仿宋" w:eastAsia="仿宋" w:cs="仿宋"/>
          <w:bCs/>
          <w:color w:val="000000" w:themeColor="text1"/>
          <w:sz w:val="32"/>
          <w:szCs w:val="32"/>
          <w14:textFill>
            <w14:solidFill>
              <w14:schemeClr w14:val="tx1"/>
            </w14:solidFill>
          </w14:textFill>
        </w:rPr>
        <w:t>学科前沿发展动态，能广泛联系行业企业，了解行业企业对本专业人才的需求实际，专业研究能力强</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组织开展教科研工作能力强，在本领域具有一定的专业影响力。</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59" w:name="_Toc8617"/>
      <w:bookmarkStart w:id="60" w:name="_Toc20896"/>
      <w:r>
        <w:rPr>
          <w:rFonts w:hint="eastAsia" w:ascii="仿宋" w:hAnsi="仿宋" w:eastAsia="仿宋" w:cs="仿宋"/>
          <w:b/>
          <w:bCs w:val="0"/>
          <w:color w:val="000000" w:themeColor="text1"/>
          <w:sz w:val="32"/>
          <w:szCs w:val="32"/>
          <w:lang w:val="en-US" w:eastAsia="zh-CN"/>
          <w14:textFill>
            <w14:solidFill>
              <w14:schemeClr w14:val="tx1"/>
            </w14:solidFill>
          </w14:textFill>
        </w:rPr>
        <w:t>4.兼职教师</w:t>
      </w:r>
      <w:bookmarkEnd w:id="59"/>
      <w:bookmarkEnd w:id="60"/>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兼职教师主要从与本专业相关的行业企业聘任。要求具备良好的思想政治素质、职业道德和工匠精神，具有扎实的专业知识和丰富的实际工作经验，具有中级及以上相关专业</w:t>
      </w:r>
      <w:r>
        <w:rPr>
          <w:rFonts w:hint="eastAsia" w:ascii="仿宋" w:hAnsi="仿宋" w:eastAsia="仿宋" w:cs="仿宋"/>
          <w:bCs/>
          <w:color w:val="000000" w:themeColor="text1"/>
          <w:sz w:val="32"/>
          <w:szCs w:val="32"/>
          <w:lang w:val="en-US" w:eastAsia="zh-CN"/>
          <w14:textFill>
            <w14:solidFill>
              <w14:schemeClr w14:val="tx1"/>
            </w14:solidFill>
          </w14:textFill>
        </w:rPr>
        <w:t>职称</w:t>
      </w:r>
      <w:r>
        <w:rPr>
          <w:rFonts w:hint="eastAsia" w:ascii="仿宋" w:hAnsi="仿宋" w:eastAsia="仿宋" w:cs="仿宋"/>
          <w:bCs/>
          <w:color w:val="000000" w:themeColor="text1"/>
          <w:sz w:val="32"/>
          <w:szCs w:val="32"/>
          <w14:textFill>
            <w14:solidFill>
              <w14:schemeClr w14:val="tx1"/>
            </w14:solidFill>
          </w14:textFill>
        </w:rPr>
        <w:t>，能承担专业课程教学、实习实训指导和学生职业发展规划指导等教学任务</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570"/>
        <w:jc w:val="left"/>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师资队伍一览表</w:t>
      </w:r>
      <w:r>
        <w:rPr>
          <w:rFonts w:hint="eastAsia" w:ascii="仿宋" w:hAnsi="仿宋" w:eastAsia="仿宋" w:cs="仿宋"/>
          <w:bCs/>
          <w:color w:val="000000" w:themeColor="text1"/>
          <w:sz w:val="32"/>
          <w:szCs w:val="32"/>
          <w:lang w:val="en-US" w:eastAsia="zh-CN"/>
          <w14:textFill>
            <w14:solidFill>
              <w14:schemeClr w14:val="tx1"/>
            </w14:solidFill>
          </w14:textFill>
        </w:rPr>
        <w:t>见表1-10。</w:t>
      </w:r>
    </w:p>
    <w:p>
      <w:pPr>
        <w:spacing w:line="560" w:lineRule="exact"/>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表1-10                   </w:t>
      </w:r>
      <w:r>
        <w:rPr>
          <w:rFonts w:hint="eastAsia" w:ascii="仿宋" w:hAnsi="仿宋" w:eastAsia="仿宋" w:cs="仿宋"/>
          <w:bCs/>
          <w:color w:val="000000" w:themeColor="text1"/>
          <w:sz w:val="28"/>
          <w:szCs w:val="28"/>
          <w14:textFill>
            <w14:solidFill>
              <w14:schemeClr w14:val="tx1"/>
            </w14:solidFill>
          </w14:textFill>
        </w:rPr>
        <w:t>师资队伍一览表</w:t>
      </w:r>
    </w:p>
    <w:tbl>
      <w:tblPr>
        <w:tblStyle w:val="10"/>
        <w:tblW w:w="8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1763"/>
        <w:gridCol w:w="1634"/>
        <w:gridCol w:w="1800"/>
        <w:gridCol w:w="2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省里认定的双师资格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范荣芳</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高淑峰</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李 澜</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赵清明</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陈 昊</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张春强</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李 柳</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bl>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61" w:name="_Toc19530"/>
      <w:bookmarkStart w:id="62" w:name="_Toc10997"/>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教学设施</w:t>
      </w:r>
      <w:bookmarkEnd w:id="61"/>
      <w:bookmarkEnd w:id="62"/>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63" w:name="_Toc11797"/>
      <w:bookmarkStart w:id="64" w:name="_Toc15810"/>
      <w:r>
        <w:rPr>
          <w:rFonts w:hint="eastAsia" w:ascii="仿宋" w:hAnsi="仿宋" w:eastAsia="仿宋" w:cs="仿宋"/>
          <w:b/>
          <w:bCs w:val="0"/>
          <w:color w:val="000000" w:themeColor="text1"/>
          <w:sz w:val="32"/>
          <w:szCs w:val="32"/>
          <w14:textFill>
            <w14:solidFill>
              <w14:schemeClr w14:val="tx1"/>
            </w14:solidFill>
          </w14:textFill>
        </w:rPr>
        <w:t>1.专业教室基本条件</w:t>
      </w:r>
      <w:bookmarkEnd w:id="63"/>
      <w:bookmarkEnd w:id="64"/>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专业教室一般配备黑(白) 板、多媒体计算机、投影设备、音响设备，互联网接入或WiFi环境，并实施网络安全防护措施</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安装应急照明装置并保持良好状态，符合紧急疏散要求，标志明显，保持逃生通道畅通无阻。</w:t>
      </w:r>
    </w:p>
    <w:p>
      <w:pPr>
        <w:spacing w:line="560" w:lineRule="exact"/>
        <w:ind w:firstLine="570"/>
        <w:jc w:val="left"/>
        <w:outlineLvl w:val="2"/>
        <w:rPr>
          <w:rFonts w:hint="eastAsia" w:ascii="仿宋" w:hAnsi="仿宋" w:eastAsia="仿宋" w:cs="仿宋"/>
          <w:b/>
          <w:bCs w:val="0"/>
          <w:color w:val="000000" w:themeColor="text1"/>
          <w:sz w:val="32"/>
          <w:szCs w:val="32"/>
          <w:highlight w:val="none"/>
          <w14:textFill>
            <w14:solidFill>
              <w14:schemeClr w14:val="tx1"/>
            </w14:solidFill>
          </w14:textFill>
        </w:rPr>
      </w:pPr>
      <w:bookmarkStart w:id="65" w:name="_Toc24523"/>
      <w:bookmarkStart w:id="66" w:name="_Toc26043"/>
      <w:r>
        <w:rPr>
          <w:rFonts w:hint="eastAsia" w:ascii="仿宋" w:hAnsi="仿宋" w:eastAsia="仿宋" w:cs="仿宋"/>
          <w:b/>
          <w:bCs w:val="0"/>
          <w:color w:val="000000" w:themeColor="text1"/>
          <w:sz w:val="32"/>
          <w:szCs w:val="32"/>
          <w:highlight w:val="none"/>
          <w14:textFill>
            <w14:solidFill>
              <w14:schemeClr w14:val="tx1"/>
            </w14:solidFill>
          </w14:textFill>
        </w:rPr>
        <w:t>2.校内实训室基本要求</w:t>
      </w:r>
      <w:bookmarkEnd w:id="65"/>
      <w:bookmarkEnd w:id="66"/>
      <w:r>
        <w:rPr>
          <w:rFonts w:hint="eastAsia" w:ascii="仿宋" w:hAnsi="仿宋" w:eastAsia="仿宋" w:cs="仿宋"/>
          <w:b/>
          <w:bCs w:val="0"/>
          <w:color w:val="000000" w:themeColor="text1"/>
          <w:sz w:val="32"/>
          <w:szCs w:val="32"/>
          <w:highlight w:val="none"/>
          <w14:textFill>
            <w14:solidFill>
              <w14:schemeClr w14:val="tx1"/>
            </w14:solidFill>
          </w14:textFill>
        </w:rPr>
        <w:t xml:space="preserve"> </w:t>
      </w:r>
    </w:p>
    <w:p>
      <w:pPr>
        <w:spacing w:line="560" w:lineRule="exact"/>
        <w:ind w:firstLine="570"/>
        <w:jc w:val="left"/>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校内实训室基本要求见表1-</w:t>
      </w:r>
      <w:r>
        <w:rPr>
          <w:rFonts w:hint="eastAsia" w:ascii="仿宋" w:hAnsi="仿宋" w:eastAsia="仿宋" w:cs="仿宋"/>
          <w:bCs/>
          <w:color w:val="000000" w:themeColor="text1"/>
          <w:sz w:val="32"/>
          <w:szCs w:val="32"/>
          <w:lang w:val="en-US" w:eastAsia="zh-CN"/>
          <w14:textFill>
            <w14:solidFill>
              <w14:schemeClr w14:val="tx1"/>
            </w14:solidFill>
          </w14:textFill>
        </w:rPr>
        <w:t>11。</w:t>
      </w:r>
    </w:p>
    <w:p>
      <w:pPr>
        <w:spacing w:line="560" w:lineRule="exact"/>
        <w:jc w:val="left"/>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表1-11               </w:t>
      </w:r>
      <w:r>
        <w:rPr>
          <w:rFonts w:hint="eastAsia" w:ascii="仿宋" w:hAnsi="仿宋" w:eastAsia="仿宋" w:cs="仿宋"/>
          <w:b w:val="0"/>
          <w:bCs/>
          <w:color w:val="000000" w:themeColor="text1"/>
          <w:sz w:val="28"/>
          <w:szCs w:val="28"/>
          <w14:textFill>
            <w14:solidFill>
              <w14:schemeClr w14:val="tx1"/>
            </w14:solidFill>
          </w14:textFill>
        </w:rPr>
        <w:t>校内实训室基本要求</w:t>
      </w:r>
    </w:p>
    <w:tbl>
      <w:tblPr>
        <w:tblStyle w:val="11"/>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186"/>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序号</w:t>
            </w:r>
          </w:p>
        </w:tc>
        <w:tc>
          <w:tcPr>
            <w:tcW w:w="2186"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实训室名称</w:t>
            </w:r>
          </w:p>
        </w:tc>
        <w:tc>
          <w:tcPr>
            <w:tcW w:w="490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1</w:t>
            </w:r>
          </w:p>
        </w:tc>
        <w:tc>
          <w:tcPr>
            <w:tcW w:w="2186"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1</w:t>
            </w:r>
          </w:p>
        </w:tc>
        <w:tc>
          <w:tcPr>
            <w:tcW w:w="490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2</w:t>
            </w:r>
          </w:p>
        </w:tc>
        <w:tc>
          <w:tcPr>
            <w:tcW w:w="2186"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2</w:t>
            </w:r>
          </w:p>
        </w:tc>
        <w:tc>
          <w:tcPr>
            <w:tcW w:w="490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3</w:t>
            </w:r>
          </w:p>
        </w:tc>
        <w:tc>
          <w:tcPr>
            <w:tcW w:w="2186"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3</w:t>
            </w:r>
          </w:p>
        </w:tc>
        <w:tc>
          <w:tcPr>
            <w:tcW w:w="490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0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4</w:t>
            </w:r>
          </w:p>
        </w:tc>
        <w:tc>
          <w:tcPr>
            <w:tcW w:w="2186"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val="en-US" w:eastAsia="zh-CN" w:bidi="ar"/>
              </w:rPr>
              <w:t>计算机</w:t>
            </w: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4</w:t>
            </w:r>
          </w:p>
        </w:tc>
        <w:tc>
          <w:tcPr>
            <w:tcW w:w="490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bl>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67" w:name="_Toc18276"/>
      <w:bookmarkStart w:id="68" w:name="_Toc8214"/>
      <w:r>
        <w:rPr>
          <w:rFonts w:hint="eastAsia" w:ascii="仿宋" w:hAnsi="仿宋" w:eastAsia="仿宋" w:cs="仿宋"/>
          <w:b/>
          <w:bCs w:val="0"/>
          <w:color w:val="000000" w:themeColor="text1"/>
          <w:sz w:val="32"/>
          <w:szCs w:val="32"/>
          <w14:textFill>
            <w14:solidFill>
              <w14:schemeClr w14:val="tx1"/>
            </w14:solidFill>
          </w14:textFill>
        </w:rPr>
        <w:t>3.校外实训/实习基地基本要求</w:t>
      </w:r>
      <w:bookmarkEnd w:id="67"/>
      <w:bookmarkEnd w:id="68"/>
    </w:p>
    <w:p>
      <w:pPr>
        <w:spacing w:line="560" w:lineRule="exact"/>
        <w:ind w:firstLine="627" w:firstLineChars="196"/>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校外实训/实习基地是师生从事实践教学、社会实践、科研活动的重要场所，是培养学生综合素质和社会实践能力的重要课堂，是校企合作的重要途径。</w:t>
      </w:r>
      <w:r>
        <w:rPr>
          <w:rFonts w:hint="eastAsia" w:ascii="仿宋" w:hAnsi="仿宋" w:eastAsia="仿宋" w:cs="仿宋"/>
          <w:bCs/>
          <w:color w:val="000000" w:themeColor="text1"/>
          <w:sz w:val="32"/>
          <w:szCs w:val="32"/>
          <w:lang w:val="zh-CN"/>
          <w14:textFill>
            <w14:solidFill>
              <w14:schemeClr w14:val="tx1"/>
            </w14:solidFill>
          </w14:textFill>
        </w:rPr>
        <w:t>根据本专业人才培养的需要和未来就业需求，</w:t>
      </w:r>
      <w:r>
        <w:rPr>
          <w:rFonts w:hint="eastAsia" w:ascii="仿宋" w:hAnsi="仿宋" w:eastAsia="仿宋" w:cs="仿宋"/>
          <w:bCs/>
          <w:color w:val="000000" w:themeColor="text1"/>
          <w:sz w:val="32"/>
          <w:szCs w:val="32"/>
          <w:lang w:val="en-US" w:eastAsia="zh-CN"/>
          <w14:textFill>
            <w14:solidFill>
              <w14:schemeClr w14:val="tx1"/>
            </w14:solidFill>
          </w14:textFill>
        </w:rPr>
        <w:t>校外</w:t>
      </w:r>
      <w:r>
        <w:rPr>
          <w:rFonts w:hint="eastAsia" w:ascii="仿宋" w:hAnsi="仿宋" w:eastAsia="仿宋" w:cs="仿宋"/>
          <w:bCs/>
          <w:color w:val="000000" w:themeColor="text1"/>
          <w:sz w:val="32"/>
          <w:szCs w:val="32"/>
          <w:lang w:val="zh-CN"/>
          <w14:textFill>
            <w14:solidFill>
              <w14:schemeClr w14:val="tx1"/>
            </w14:solidFill>
          </w14:textFill>
        </w:rPr>
        <w:t>实习基地应能提供网络维护、网络建设等与专业对口的相关实习岗位，能涵盖当前相关产业发展的主流技术，可接纳一定规模的学生实习。</w:t>
      </w:r>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69" w:name="_Toc3812"/>
      <w:bookmarkStart w:id="70" w:name="_Toc26013"/>
      <w:r>
        <w:rPr>
          <w:rFonts w:hint="eastAsia" w:ascii="楷体" w:hAnsi="楷体" w:eastAsia="楷体" w:cs="楷体"/>
          <w:b/>
          <w:bCs/>
          <w:color w:val="000000" w:themeColor="text1"/>
          <w:sz w:val="32"/>
          <w:szCs w:val="32"/>
          <w14:textFill>
            <w14:solidFill>
              <w14:schemeClr w14:val="tx1"/>
            </w14:solidFill>
          </w14:textFill>
        </w:rPr>
        <w:t>(三) 教学资源</w:t>
      </w:r>
      <w:bookmarkEnd w:id="69"/>
      <w:bookmarkEnd w:id="70"/>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71" w:name="_Toc25502"/>
      <w:bookmarkStart w:id="72" w:name="_Toc4480"/>
      <w:r>
        <w:rPr>
          <w:rFonts w:hint="eastAsia" w:ascii="仿宋" w:hAnsi="仿宋" w:eastAsia="仿宋" w:cs="仿宋"/>
          <w:b/>
          <w:bCs w:val="0"/>
          <w:color w:val="000000" w:themeColor="text1"/>
          <w:sz w:val="32"/>
          <w:szCs w:val="32"/>
          <w14:textFill>
            <w14:solidFill>
              <w14:schemeClr w14:val="tx1"/>
            </w14:solidFill>
          </w14:textFill>
        </w:rPr>
        <w:t>1.教材选用基本要求</w:t>
      </w:r>
      <w:bookmarkEnd w:id="71"/>
      <w:bookmarkEnd w:id="72"/>
    </w:p>
    <w:p>
      <w:pPr>
        <w:pStyle w:val="3"/>
        <w:spacing w:after="0" w:line="560" w:lineRule="exact"/>
        <w:ind w:left="136" w:right="233"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教材应符合《职业院校教材管理办法》等文件的规定和要求，</w:t>
      </w:r>
      <w:r>
        <w:rPr>
          <w:rFonts w:hint="eastAsia" w:ascii="仿宋" w:hAnsi="仿宋" w:eastAsia="仿宋" w:cs="仿宋"/>
          <w:bCs/>
          <w:color w:val="000000" w:themeColor="text1"/>
          <w:sz w:val="32"/>
          <w:szCs w:val="32"/>
          <w:lang w:val="en-US" w:eastAsia="zh-CN"/>
          <w14:textFill>
            <w14:solidFill>
              <w14:schemeClr w14:val="tx1"/>
            </w14:solidFill>
          </w14:textFill>
        </w:rPr>
        <w:t>优先选用</w:t>
      </w:r>
      <w:r>
        <w:rPr>
          <w:rFonts w:hint="eastAsia" w:ascii="仿宋" w:hAnsi="仿宋" w:eastAsia="仿宋" w:cs="仿宋"/>
          <w:spacing w:val="-2"/>
          <w:sz w:val="32"/>
          <w:szCs w:val="32"/>
        </w:rPr>
        <w:t>国家规划教材</w:t>
      </w:r>
      <w:r>
        <w:rPr>
          <w:rFonts w:hint="eastAsia" w:ascii="仿宋" w:hAnsi="仿宋" w:eastAsia="仿宋" w:cs="仿宋"/>
          <w:spacing w:val="-2"/>
          <w:sz w:val="32"/>
          <w:szCs w:val="32"/>
          <w:lang w:eastAsia="zh-CN"/>
        </w:rPr>
        <w:t>，</w:t>
      </w:r>
      <w:r>
        <w:rPr>
          <w:rFonts w:hint="eastAsia" w:ascii="仿宋" w:hAnsi="仿宋" w:eastAsia="仿宋" w:cs="仿宋"/>
          <w:bCs/>
          <w:color w:val="000000" w:themeColor="text1"/>
          <w:sz w:val="32"/>
          <w:szCs w:val="32"/>
          <w14:textFill>
            <w14:solidFill>
              <w14:schemeClr w14:val="tx1"/>
            </w14:solidFill>
          </w14:textFill>
        </w:rPr>
        <w:t>探索使用新型活页式</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工作手册式教材并配套信息化资源。</w:t>
      </w:r>
    </w:p>
    <w:p>
      <w:pPr>
        <w:spacing w:line="560" w:lineRule="exact"/>
        <w:ind w:firstLine="643" w:firstLineChars="20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73" w:name="_Toc12657"/>
      <w:bookmarkStart w:id="74" w:name="_Toc18848"/>
      <w:r>
        <w:rPr>
          <w:rFonts w:hint="eastAsia" w:ascii="仿宋" w:hAnsi="仿宋" w:eastAsia="仿宋" w:cs="仿宋"/>
          <w:b/>
          <w:bCs w:val="0"/>
          <w:color w:val="000000" w:themeColor="text1"/>
          <w:sz w:val="32"/>
          <w:szCs w:val="32"/>
          <w14:textFill>
            <w14:solidFill>
              <w14:schemeClr w14:val="tx1"/>
            </w14:solidFill>
          </w14:textFill>
        </w:rPr>
        <w:t>2.图书文献配备基本要求</w:t>
      </w:r>
      <w:bookmarkEnd w:id="73"/>
      <w:bookmarkEnd w:id="74"/>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图书文献配备能满足人才培养、专业建设、教科研等工作的需要，方便师生查询、借阅</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专业类图书文献主要包括</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有关</w:t>
      </w:r>
      <w:r>
        <w:rPr>
          <w:rFonts w:hint="eastAsia" w:ascii="仿宋" w:hAnsi="仿宋" w:eastAsia="仿宋" w:cs="仿宋"/>
          <w:bCs/>
          <w:color w:val="000000" w:themeColor="text1"/>
          <w:sz w:val="32"/>
          <w:szCs w:val="32"/>
          <w:lang w:val="en-US" w:eastAsia="zh-CN"/>
          <w14:textFill>
            <w14:solidFill>
              <w14:schemeClr w14:val="tx1"/>
            </w14:solidFill>
          </w14:textFill>
        </w:rPr>
        <w:t>计算机</w:t>
      </w:r>
      <w:r>
        <w:rPr>
          <w:rFonts w:hint="eastAsia" w:ascii="仿宋" w:hAnsi="仿宋" w:eastAsia="仿宋" w:cs="仿宋"/>
          <w:bCs/>
          <w:color w:val="000000" w:themeColor="text1"/>
          <w:sz w:val="32"/>
          <w:szCs w:val="32"/>
          <w14:textFill>
            <w14:solidFill>
              <w14:schemeClr w14:val="tx1"/>
            </w14:solidFill>
          </w14:textFill>
        </w:rPr>
        <w:t>专业理论、技术、方法、思维以及实务操作类图书等。</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75" w:name="_Toc5541"/>
      <w:bookmarkStart w:id="76" w:name="_Toc16280"/>
      <w:r>
        <w:rPr>
          <w:rFonts w:hint="eastAsia" w:ascii="仿宋" w:hAnsi="仿宋" w:eastAsia="仿宋" w:cs="仿宋"/>
          <w:b/>
          <w:bCs w:val="0"/>
          <w:color w:val="000000" w:themeColor="text1"/>
          <w:sz w:val="32"/>
          <w:szCs w:val="32"/>
          <w14:textFill>
            <w14:solidFill>
              <w14:schemeClr w14:val="tx1"/>
            </w14:solidFill>
          </w14:textFill>
        </w:rPr>
        <w:t>3.数字教学资源配置基本要求</w:t>
      </w:r>
      <w:bookmarkEnd w:id="75"/>
      <w:bookmarkEnd w:id="76"/>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建设、配备与本专业有关的音视频素材、教学课件、数字化教学案例库、虚拟仿真软件、数字教材等专业教学资源库，要求种类丰富、形式多样、使用便捷、动态更新，能满足教学要求。</w:t>
      </w:r>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77" w:name="_Toc19869"/>
      <w:bookmarkStart w:id="78" w:name="_Toc10990"/>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四</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教学方法</w:t>
      </w:r>
      <w:bookmarkEnd w:id="77"/>
      <w:bookmarkEnd w:id="78"/>
    </w:p>
    <w:p>
      <w:pPr>
        <w:spacing w:line="560" w:lineRule="exact"/>
        <w:ind w:firstLine="595" w:firstLineChars="196"/>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spacing w:val="-8"/>
          <w:sz w:val="32"/>
          <w:szCs w:val="32"/>
        </w:rPr>
        <w:t>突出职业能力培养，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79" w:name="_Toc13043"/>
      <w:bookmarkStart w:id="80" w:name="_Toc25745"/>
      <w:r>
        <w:rPr>
          <w:rFonts w:hint="eastAsia" w:ascii="仿宋" w:hAnsi="仿宋" w:eastAsia="仿宋" w:cs="仿宋"/>
          <w:b/>
          <w:bCs w:val="0"/>
          <w:color w:val="000000" w:themeColor="text1"/>
          <w:sz w:val="32"/>
          <w:szCs w:val="32"/>
          <w14:textFill>
            <w14:solidFill>
              <w14:schemeClr w14:val="tx1"/>
            </w14:solidFill>
          </w14:textFill>
        </w:rPr>
        <w:t>1.项目教学法</w:t>
      </w:r>
      <w:bookmarkEnd w:id="79"/>
      <w:bookmarkEnd w:id="80"/>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项目教学法是以工作任务为依据设计教学项目，以学生为活动主体实施项目的教学方法，也就是将教学内容融</w:t>
      </w:r>
      <w:r>
        <w:rPr>
          <w:rFonts w:hint="eastAsia" w:ascii="仿宋" w:hAnsi="仿宋" w:eastAsia="仿宋" w:cs="仿宋"/>
          <w:bCs/>
          <w:color w:val="000000" w:themeColor="text1"/>
          <w:sz w:val="32"/>
          <w:szCs w:val="32"/>
          <w:lang w:val="en-US" w:eastAsia="zh-CN"/>
          <w14:textFill>
            <w14:solidFill>
              <w14:schemeClr w14:val="tx1"/>
            </w14:solidFill>
          </w14:textFill>
        </w:rPr>
        <w:t>入</w:t>
      </w:r>
      <w:r>
        <w:rPr>
          <w:rFonts w:hint="eastAsia" w:ascii="仿宋" w:hAnsi="仿宋" w:eastAsia="仿宋" w:cs="仿宋"/>
          <w:bCs/>
          <w:color w:val="000000" w:themeColor="text1"/>
          <w:sz w:val="32"/>
          <w:szCs w:val="32"/>
          <w14:textFill>
            <w14:solidFill>
              <w14:schemeClr w14:val="tx1"/>
            </w14:solidFill>
          </w14:textFill>
        </w:rPr>
        <w:t>项目实施过程的一种教学方法。项目教学法是以学生为中心的教学模式，这种教学模式中学生是主动的学习者，教师是学生学习的指导者。每个项目的实施都有一个明确的任务、一个完整的过程，能够取得一个标志性成果。</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81" w:name="_Toc30513"/>
      <w:bookmarkStart w:id="82" w:name="_Toc19872"/>
      <w:r>
        <w:rPr>
          <w:rFonts w:hint="eastAsia" w:ascii="仿宋" w:hAnsi="仿宋" w:eastAsia="仿宋" w:cs="仿宋"/>
          <w:b/>
          <w:bCs w:val="0"/>
          <w:color w:val="000000" w:themeColor="text1"/>
          <w:sz w:val="32"/>
          <w:szCs w:val="32"/>
          <w14:textFill>
            <w14:solidFill>
              <w14:schemeClr w14:val="tx1"/>
            </w14:solidFill>
          </w14:textFill>
        </w:rPr>
        <w:t>2.课堂讲授法</w:t>
      </w:r>
      <w:bookmarkEnd w:id="81"/>
      <w:bookmarkEnd w:id="82"/>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课堂讲授法是教师通过口头语言向学生描绘情境、叙述事实、解释概念、论证原理和阐明规律的教学方法。该方法以教师的语言作为主要媒介系统，连贯地向学生讲授基础知识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基本理论或基本流程，帮助学生理解并准确掌握相关知识技能，特别是各个知识技能点之间的有机联系和逻辑关系。</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83" w:name="_Toc9834"/>
      <w:bookmarkStart w:id="84" w:name="_Toc2367"/>
      <w:r>
        <w:rPr>
          <w:rFonts w:hint="eastAsia" w:ascii="仿宋" w:hAnsi="仿宋" w:eastAsia="仿宋" w:cs="仿宋"/>
          <w:b/>
          <w:bCs w:val="0"/>
          <w:color w:val="000000" w:themeColor="text1"/>
          <w:sz w:val="32"/>
          <w:szCs w:val="32"/>
          <w14:textFill>
            <w14:solidFill>
              <w14:schemeClr w14:val="tx1"/>
            </w14:solidFill>
          </w14:textFill>
        </w:rPr>
        <w:t>3.任务驱动法</w:t>
      </w:r>
      <w:bookmarkEnd w:id="83"/>
      <w:bookmarkEnd w:id="84"/>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以职业能力养成为核心，通过设计不同场景的项目任务来组织教学，从获取信息到制订步骤，再到决策和付诸行动，直至检查、反思与评估，完成一个完整的工作过程。教师只扮演一个“咨询者”“协调者”和“观察员”的角色，引导学生自主学习，向学生提供资源</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给予建议和操作指导，可加深学生对基础知识和基本技能的掌握，也有助于学生职业判断能力、决策能力的提升和团队合作精神的培养</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85" w:name="_Toc2029"/>
      <w:bookmarkStart w:id="86" w:name="_Toc23249"/>
      <w:r>
        <w:rPr>
          <w:rFonts w:hint="eastAsia" w:ascii="仿宋" w:hAnsi="仿宋" w:eastAsia="仿宋" w:cs="仿宋"/>
          <w:b/>
          <w:bCs w:val="0"/>
          <w:color w:val="000000" w:themeColor="text1"/>
          <w:sz w:val="32"/>
          <w:szCs w:val="32"/>
          <w14:textFill>
            <w14:solidFill>
              <w14:schemeClr w14:val="tx1"/>
            </w14:solidFill>
          </w14:textFill>
        </w:rPr>
        <w:t>4.情境教学法</w:t>
      </w:r>
      <w:bookmarkEnd w:id="85"/>
      <w:bookmarkEnd w:id="86"/>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在教学过程中，教师有目的地引</w:t>
      </w:r>
      <w:r>
        <w:rPr>
          <w:rFonts w:hint="eastAsia" w:ascii="仿宋" w:hAnsi="仿宋" w:eastAsia="仿宋" w:cs="仿宋"/>
          <w:bCs/>
          <w:color w:val="000000" w:themeColor="text1"/>
          <w:sz w:val="32"/>
          <w:szCs w:val="32"/>
          <w:lang w:val="en-US" w:eastAsia="zh-CN"/>
          <w14:textFill>
            <w14:solidFill>
              <w14:schemeClr w14:val="tx1"/>
            </w14:solidFill>
          </w14:textFill>
        </w:rPr>
        <w:t>入</w:t>
      </w:r>
      <w:r>
        <w:rPr>
          <w:rFonts w:hint="eastAsia" w:ascii="仿宋" w:hAnsi="仿宋" w:eastAsia="仿宋" w:cs="仿宋"/>
          <w:bCs/>
          <w:color w:val="000000" w:themeColor="text1"/>
          <w:sz w:val="32"/>
          <w:szCs w:val="32"/>
          <w14:textFill>
            <w14:solidFill>
              <w14:schemeClr w14:val="tx1"/>
            </w14:solidFill>
          </w14:textFill>
        </w:rPr>
        <w:t>或采用虚拟企业、虚拟职能部门、虚拟业务流程等</w:t>
      </w:r>
      <w:r>
        <w:rPr>
          <w:rFonts w:hint="eastAsia" w:ascii="仿宋" w:hAnsi="仿宋" w:eastAsia="仿宋" w:cs="仿宋"/>
          <w:bCs/>
          <w:color w:val="000000" w:themeColor="text1"/>
          <w:sz w:val="32"/>
          <w:szCs w:val="32"/>
          <w:lang w:val="en-US" w:eastAsia="zh-CN"/>
          <w14:textFill>
            <w14:solidFill>
              <w14:schemeClr w14:val="tx1"/>
            </w14:solidFill>
          </w14:textFill>
        </w:rPr>
        <w:t>现代</w:t>
      </w:r>
      <w:r>
        <w:rPr>
          <w:rFonts w:hint="eastAsia" w:ascii="仿宋" w:hAnsi="仿宋" w:eastAsia="仿宋" w:cs="仿宋"/>
          <w:bCs/>
          <w:color w:val="000000" w:themeColor="text1"/>
          <w:sz w:val="32"/>
          <w:szCs w:val="32"/>
          <w14:textFill>
            <w14:solidFill>
              <w14:schemeClr w14:val="tx1"/>
            </w14:solidFill>
          </w14:textFill>
        </w:rPr>
        <w:t>技术手段，将教学内容以视频、动漫等方式展示，提高学习的现场感、趣味性，激发</w:t>
      </w:r>
      <w:r>
        <w:rPr>
          <w:rFonts w:hint="eastAsia" w:ascii="仿宋" w:hAnsi="仿宋" w:eastAsia="仿宋" w:cs="仿宋"/>
          <w:bCs/>
          <w:color w:val="000000" w:themeColor="text1"/>
          <w:sz w:val="32"/>
          <w:szCs w:val="32"/>
          <w:lang w:val="en-US" w:eastAsia="zh-CN"/>
          <w14:textFill>
            <w14:solidFill>
              <w14:schemeClr w14:val="tx1"/>
            </w14:solidFill>
          </w14:textFill>
        </w:rPr>
        <w:t>学生</w:t>
      </w:r>
      <w:r>
        <w:rPr>
          <w:rFonts w:hint="eastAsia" w:ascii="仿宋" w:hAnsi="仿宋" w:eastAsia="仿宋" w:cs="仿宋"/>
          <w:bCs/>
          <w:color w:val="000000" w:themeColor="text1"/>
          <w:sz w:val="32"/>
          <w:szCs w:val="32"/>
          <w14:textFill>
            <w14:solidFill>
              <w14:schemeClr w14:val="tx1"/>
            </w14:solidFill>
          </w14:textFill>
        </w:rPr>
        <w:t>的情感，使学生能够尽快适应、了解和掌握将来所从事工作必备的知识和技能，直至熟悉</w:t>
      </w:r>
      <w:r>
        <w:rPr>
          <w:rFonts w:hint="eastAsia" w:ascii="仿宋" w:hAnsi="仿宋" w:eastAsia="仿宋" w:cs="仿宋"/>
          <w:bCs/>
          <w:color w:val="000000" w:themeColor="text1"/>
          <w:sz w:val="32"/>
          <w:szCs w:val="32"/>
          <w:lang w:val="en-US" w:eastAsia="zh-CN"/>
          <w14:textFill>
            <w14:solidFill>
              <w14:schemeClr w14:val="tx1"/>
            </w14:solidFill>
          </w14:textFill>
        </w:rPr>
        <w:t>可能</w:t>
      </w:r>
      <w:r>
        <w:rPr>
          <w:rFonts w:hint="eastAsia" w:ascii="仿宋" w:hAnsi="仿宋" w:eastAsia="仿宋" w:cs="仿宋"/>
          <w:bCs/>
          <w:color w:val="000000" w:themeColor="text1"/>
          <w:sz w:val="32"/>
          <w:szCs w:val="32"/>
          <w14:textFill>
            <w14:solidFill>
              <w14:schemeClr w14:val="tx1"/>
            </w14:solidFill>
          </w14:textFill>
        </w:rPr>
        <w:t>遇到的各种方法，帮助学生做出正确的决策，有效调动学生学习的主动性、积极性和创性，培养学生职业能力。</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87" w:name="_Toc30068"/>
      <w:bookmarkStart w:id="88" w:name="_Toc5526"/>
      <w:r>
        <w:rPr>
          <w:rFonts w:hint="eastAsia" w:ascii="仿宋" w:hAnsi="仿宋" w:eastAsia="仿宋" w:cs="仿宋"/>
          <w:b/>
          <w:bCs w:val="0"/>
          <w:color w:val="000000" w:themeColor="text1"/>
          <w:sz w:val="32"/>
          <w:szCs w:val="32"/>
          <w14:textFill>
            <w14:solidFill>
              <w14:schemeClr w14:val="tx1"/>
            </w14:solidFill>
          </w14:textFill>
        </w:rPr>
        <w:t>5.案例教学法</w:t>
      </w:r>
      <w:bookmarkEnd w:id="87"/>
      <w:bookmarkEnd w:id="88"/>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案例教学法包括讲解案例法和讨论案例法两种。讲解案例法，是将案例教学融入传统的讲授教学法之中的一种方法。教学中使用的案例，通常是针对课程知识体系中的重点、难点问题设计的，也称“知识点案例”。讨论案例法，是以学生课堂讨论为主，案例是学生讨论的主题，学生通过对案例的剖析，提出各自的解决方案，并予以充分讨论</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89" w:name="_Toc13720"/>
      <w:bookmarkStart w:id="90" w:name="_Toc17095"/>
      <w:r>
        <w:rPr>
          <w:rFonts w:hint="eastAsia" w:ascii="仿宋" w:hAnsi="仿宋" w:eastAsia="仿宋" w:cs="仿宋"/>
          <w:b/>
          <w:bCs w:val="0"/>
          <w:color w:val="000000" w:themeColor="text1"/>
          <w:sz w:val="32"/>
          <w:szCs w:val="32"/>
          <w14:textFill>
            <w14:solidFill>
              <w14:schemeClr w14:val="tx1"/>
            </w14:solidFill>
          </w14:textFill>
        </w:rPr>
        <w:t>6.启发式教学法</w:t>
      </w:r>
      <w:bookmarkEnd w:id="89"/>
      <w:bookmarkEnd w:id="90"/>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启发式教学是根据教学目的和内容，通过设计启发、诱导型问题，引导学生养成多思考、善思考、勤思考的习惯，将问题解决贯穿于教学的每一环节，启迪学生思考，活跃学生思维，促进学生身心发展，提高学生学习的主动性、积极性和创造性，更好地激发学生的学习兴趣，加深对课程内容的理解。</w:t>
      </w:r>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91" w:name="_Toc19123"/>
      <w:bookmarkStart w:id="92" w:name="_Toc12900"/>
      <w:r>
        <w:rPr>
          <w:rFonts w:hint="eastAsia" w:ascii="楷体" w:hAnsi="楷体" w:eastAsia="楷体" w:cs="楷体"/>
          <w:b/>
          <w:bCs/>
          <w:color w:val="000000" w:themeColor="text1"/>
          <w:sz w:val="32"/>
          <w:szCs w:val="32"/>
          <w14:textFill>
            <w14:solidFill>
              <w14:schemeClr w14:val="tx1"/>
            </w14:solidFill>
          </w14:textFill>
        </w:rPr>
        <w:t>（五）学习评价</w:t>
      </w:r>
      <w:bookmarkEnd w:id="91"/>
      <w:bookmarkEnd w:id="92"/>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专业针对不同教学与实践内容，构建多元化评价体系和模式。评价内容包括学生的知识掌握情况、实践操作能力、学习态度和基本职业素质等方面，突出对学生专业能力的考校评价。课程考核采用过程考核和结果考核相结合的评价方法，科学合理地评价学生学习的效果，引导学生注重学习过程，提高学生的学习兴趣。</w:t>
      </w:r>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评价过程中应注意以下几点：</w:t>
      </w:r>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1.结合课堂提问、现场操作、课后作业、模块考核等手段，构建“多形式、多项目”的课程考核标准，加强实践环节的考核，并注重平时采分。</w:t>
      </w:r>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.鼓励学生参加国家</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省、市级本专业技能比赛，以竞赛组织方级别和获奖等级为依据折合成相关专业课程的成绩。</w:t>
      </w:r>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.将学业考核与职业资格证书相结合，允许用职业资格证书替代相关专业的课程成绩。</w:t>
      </w:r>
    </w:p>
    <w:p>
      <w:pPr>
        <w:spacing w:line="560" w:lineRule="exact"/>
        <w:ind w:firstLine="570"/>
        <w:jc w:val="left"/>
        <w:outlineLvl w:val="2"/>
        <w:rPr>
          <w:rFonts w:hint="eastAsia" w:ascii="仿宋" w:hAnsi="仿宋" w:eastAsia="仿宋" w:cs="仿宋"/>
          <w:bCs/>
          <w:color w:val="000000" w:themeColor="text1"/>
          <w:sz w:val="32"/>
          <w:szCs w:val="32"/>
          <w14:textFill>
            <w14:solidFill>
              <w14:schemeClr w14:val="tx1"/>
            </w14:solidFill>
          </w14:textFill>
        </w:rPr>
      </w:pPr>
      <w:bookmarkStart w:id="93" w:name="_Toc25917"/>
      <w:bookmarkStart w:id="94" w:name="_Toc13353"/>
      <w:bookmarkStart w:id="95" w:name="_Toc31677"/>
      <w:bookmarkStart w:id="96" w:name="_Toc3822"/>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.吸纳行业企业和社会有关方面组织参与考核评价。</w:t>
      </w:r>
      <w:bookmarkEnd w:id="93"/>
      <w:bookmarkEnd w:id="94"/>
      <w:bookmarkEnd w:id="95"/>
      <w:bookmarkEnd w:id="96"/>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97" w:name="_Toc1117"/>
      <w:bookmarkStart w:id="98" w:name="_Toc1217"/>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六</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质量管理</w:t>
      </w:r>
      <w:bookmarkEnd w:id="97"/>
      <w:bookmarkEnd w:id="98"/>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健全各级专业教学管理机构，明确职责，同时建立健全覆盖专业教学全过程的教学管理规章制度。具体包括人才培养的市场调研及培养方案的制订与修订，专业教学团队建设、课程建设、教材建设，网络教学资源建设，校内外实训实习基地建设，学生</w:t>
      </w:r>
      <w:r>
        <w:rPr>
          <w:rFonts w:hint="eastAsia" w:ascii="仿宋" w:hAnsi="仿宋" w:eastAsia="仿宋" w:cs="仿宋"/>
          <w:bCs/>
          <w:color w:val="000000" w:themeColor="text1"/>
          <w:sz w:val="32"/>
          <w:szCs w:val="32"/>
          <w:lang w:val="en-US" w:eastAsia="zh-CN"/>
          <w14:textFill>
            <w14:solidFill>
              <w14:schemeClr w14:val="tx1"/>
            </w14:solidFill>
          </w14:textFill>
        </w:rPr>
        <w:t>岗位</w:t>
      </w:r>
      <w:r>
        <w:rPr>
          <w:rFonts w:hint="eastAsia" w:ascii="仿宋" w:hAnsi="仿宋" w:eastAsia="仿宋" w:cs="仿宋"/>
          <w:bCs/>
          <w:color w:val="000000" w:themeColor="text1"/>
          <w:sz w:val="32"/>
          <w:szCs w:val="32"/>
          <w14:textFill>
            <w14:solidFill>
              <w14:schemeClr w14:val="tx1"/>
            </w14:solidFill>
          </w14:textFill>
        </w:rPr>
        <w:t>实习等专业社会实践活动的开展，对毕业生的跟踪调查以及社会服务与产学研合作等主要内容，以满足教学管理的需要。</w:t>
      </w:r>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积极采用现代管理技术开展教学管理工作，切实保障教学管理工作的严格执行与教学管理措施的贯彻到位，保证人才培养质量，全面实现人才培养目标。</w:t>
      </w:r>
    </w:p>
    <w:p>
      <w:pPr>
        <w:spacing w:line="560" w:lineRule="exact"/>
        <w:ind w:firstLine="627"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.完善教学管理机制，加强日常教学组织运行与管理，建立健全巡课、听课、评教、评学等制度，严明教学纪律，强化教学组织功能。定期开展公开课、示范课等教研活动。</w:t>
      </w:r>
    </w:p>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99" w:name="_Toc3516"/>
      <w:bookmarkStart w:id="100" w:name="_Toc7004"/>
      <w:r>
        <w:rPr>
          <w:rFonts w:hint="eastAsia" w:ascii="黑体" w:hAnsi="黑体" w:eastAsia="黑体" w:cs="黑体"/>
          <w:color w:val="000000" w:themeColor="text1"/>
          <w:sz w:val="32"/>
          <w:szCs w:val="32"/>
          <w:lang w:val="en-US" w:eastAsia="zh-CN"/>
          <w14:textFill>
            <w14:solidFill>
              <w14:schemeClr w14:val="tx1"/>
            </w14:solidFill>
          </w14:textFill>
        </w:rPr>
        <w:t>十一</w:t>
      </w:r>
      <w:r>
        <w:rPr>
          <w:rFonts w:hint="eastAsia" w:ascii="黑体" w:hAnsi="黑体" w:eastAsia="黑体" w:cs="黑体"/>
          <w:color w:val="000000" w:themeColor="text1"/>
          <w:sz w:val="32"/>
          <w:szCs w:val="32"/>
          <w14:textFill>
            <w14:solidFill>
              <w14:schemeClr w14:val="tx1"/>
            </w14:solidFill>
          </w14:textFill>
        </w:rPr>
        <w:t>、毕业要求</w:t>
      </w:r>
      <w:bookmarkEnd w:id="99"/>
      <w:bookmarkEnd w:id="100"/>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学生修完本专业人才培养方案所规定的课程并成绩合格，达到本专业人才培养目标和培养规格的要求方可毕业。</w:t>
      </w:r>
    </w:p>
    <w:p>
      <w:pPr>
        <w:pStyle w:val="2"/>
        <w:ind w:left="0" w:leftChars="0" w:firstLine="640" w:firstLineChars="200"/>
        <w:rPr>
          <w:rFonts w:ascii="黑体" w:hAnsi="黑体" w:eastAsia="黑体" w:cs="黑体"/>
          <w:color w:val="000000" w:themeColor="text1"/>
          <w:sz w:val="32"/>
          <w:szCs w:val="32"/>
          <w:lang w:val="en-US" w:bidi="ar-SA"/>
          <w14:textFill>
            <w14:solidFill>
              <w14:schemeClr w14:val="tx1"/>
            </w14:solidFill>
          </w14:textFill>
        </w:rPr>
      </w:pPr>
      <w:bookmarkStart w:id="101" w:name="_Toc26406"/>
      <w:bookmarkStart w:id="102" w:name="_Toc23913"/>
      <w:r>
        <w:rPr>
          <w:rFonts w:hint="eastAsia" w:ascii="黑体" w:hAnsi="黑体" w:eastAsia="黑体" w:cs="黑体"/>
          <w:color w:val="000000" w:themeColor="text1"/>
          <w:sz w:val="32"/>
          <w:szCs w:val="32"/>
          <w:lang w:val="en-US" w:bidi="ar-SA"/>
          <w14:textFill>
            <w14:solidFill>
              <w14:schemeClr w14:val="tx1"/>
            </w14:solidFill>
          </w14:textFill>
        </w:rPr>
        <w:t>十</w:t>
      </w:r>
      <w:r>
        <w:rPr>
          <w:rFonts w:hint="eastAsia" w:ascii="黑体" w:hAnsi="黑体" w:eastAsia="黑体" w:cs="黑体"/>
          <w:color w:val="000000" w:themeColor="text1"/>
          <w:sz w:val="32"/>
          <w:szCs w:val="32"/>
          <w:lang w:val="en-US" w:eastAsia="zh-CN" w:bidi="ar-SA"/>
          <w14:textFill>
            <w14:solidFill>
              <w14:schemeClr w14:val="tx1"/>
            </w14:solidFill>
          </w14:textFill>
        </w:rPr>
        <w:t>二</w:t>
      </w:r>
      <w:r>
        <w:rPr>
          <w:rFonts w:hint="eastAsia" w:ascii="黑体" w:hAnsi="黑体" w:eastAsia="黑体" w:cs="黑体"/>
          <w:color w:val="000000" w:themeColor="text1"/>
          <w:sz w:val="32"/>
          <w:szCs w:val="32"/>
          <w:lang w:val="en-US" w:bidi="ar-SA"/>
          <w14:textFill>
            <w14:solidFill>
              <w14:schemeClr w14:val="tx1"/>
            </w14:solidFill>
          </w14:textFill>
        </w:rPr>
        <w:t>、接续专业举例</w:t>
      </w:r>
      <w:bookmarkEnd w:id="101"/>
      <w:bookmarkEnd w:id="102"/>
    </w:p>
    <w:p>
      <w:pPr>
        <w:keepNext w:val="0"/>
        <w:keepLines w:val="0"/>
        <w:widowControl/>
        <w:suppressLineNumbers w:val="0"/>
        <w:ind w:firstLine="640"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接续高职专科专业举例：</w:t>
      </w:r>
      <w:r>
        <w:rPr>
          <w:rFonts w:hint="eastAsia" w:ascii="仿宋" w:hAnsi="仿宋" w:eastAsia="仿宋" w:cs="仿宋"/>
          <w:bCs/>
          <w:color w:val="000000" w:themeColor="text1"/>
          <w:sz w:val="32"/>
          <w:szCs w:val="32"/>
          <w:lang w:val="en-US" w:eastAsia="zh-CN"/>
          <w14:textFill>
            <w14:solidFill>
              <w14:schemeClr w14:val="tx1"/>
            </w14:solidFill>
          </w14:textFill>
        </w:rPr>
        <w:t>计算机网络技术、计算机应用技术、软件技术、云计算技术应用、信息安全技术应用、移动应用开发等</w:t>
      </w:r>
      <w:r>
        <w:rPr>
          <w:rFonts w:hint="eastAsia" w:ascii="仿宋" w:hAnsi="仿宋" w:eastAsia="仿宋" w:cs="仿宋"/>
          <w:bCs/>
          <w:color w:val="000000" w:themeColor="text1"/>
          <w:sz w:val="32"/>
          <w:szCs w:val="32"/>
          <w14:textFill>
            <w14:solidFill>
              <w14:schemeClr w14:val="tx1"/>
            </w14:solidFill>
          </w14:textFill>
        </w:rPr>
        <w:t>。</w:t>
      </w:r>
    </w:p>
    <w:p>
      <w:pPr>
        <w:keepNext w:val="0"/>
        <w:keepLines w:val="0"/>
        <w:widowControl/>
        <w:suppressLineNumbers w:val="0"/>
        <w:ind w:firstLine="640"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 xml:space="preserve">接续高职本科专业举例：网络工程技术、计算机应用工程、软件工程技术、云计算技术等。 </w:t>
      </w:r>
    </w:p>
    <w:p>
      <w:pPr>
        <w:keepNext w:val="0"/>
        <w:keepLines w:val="0"/>
        <w:widowControl/>
        <w:suppressLineNumbers w:val="0"/>
        <w:ind w:firstLine="640" w:firstLineChars="200"/>
        <w:jc w:val="left"/>
        <w:rPr>
          <w:rFonts w:hint="default" w:ascii="仿宋" w:hAnsi="仿宋" w:eastAsia="仿宋" w:cs="仿宋"/>
          <w:bCs/>
          <w:color w:val="000000" w:themeColor="text1"/>
          <w:sz w:val="32"/>
          <w:szCs w:val="32"/>
          <w:lang w:val="en-US"/>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接续普通本科专业举例：网络工程、计算机科学与技术、软件工程等。</w:t>
      </w:r>
    </w:p>
    <w:p>
      <w:pPr>
        <w:pStyle w:val="2"/>
        <w:outlineLvl w:val="9"/>
        <w:rPr>
          <w:rFonts w:hint="eastAsia"/>
          <w:color w:val="FF0000"/>
          <w:sz w:val="32"/>
          <w:lang w:val="en-US" w:bidi="ar-SA"/>
        </w:rPr>
      </w:pPr>
    </w:p>
    <w:p/>
    <w:sectPr>
      <w:headerReference r:id="rId3" w:type="default"/>
      <w:footerReference r:id="rId4" w:type="default"/>
      <w:pgSz w:w="11906" w:h="16838"/>
      <w:pgMar w:top="1417"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FD185E-167A-47BC-B63A-8726BA1887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63179572-441D-4DB1-8B7F-F7BCD7DCF19D}"/>
  </w:font>
  <w:font w:name="方正小标宋简体">
    <w:panose1 w:val="02000000000000000000"/>
    <w:charset w:val="86"/>
    <w:family w:val="auto"/>
    <w:pitch w:val="default"/>
    <w:sig w:usb0="00000001" w:usb1="08000000" w:usb2="00000000" w:usb3="00000000" w:csb0="00040000" w:csb1="00000000"/>
    <w:embedRegular r:id="rId3" w:fontKey="{438A39A1-DB15-46DB-A8A4-0B049C1253A8}"/>
  </w:font>
  <w:font w:name="楷体">
    <w:panose1 w:val="02010609060101010101"/>
    <w:charset w:val="86"/>
    <w:family w:val="modern"/>
    <w:pitch w:val="default"/>
    <w:sig w:usb0="800002BF" w:usb1="38CF7CFA" w:usb2="00000016" w:usb3="00000000" w:csb0="00040001" w:csb1="00000000"/>
    <w:embedRegular r:id="rId4" w:fontKey="{C3750E71-8853-4EB8-9C65-2775C86587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1"/>
        <w:left w:val="none" w:color="auto" w:sz="0" w:space="4"/>
        <w:bottom w:val="none" w:color="auto" w:sz="0" w:space="1"/>
        <w:right w:val="none" w:color="auto" w:sz="0" w:space="4"/>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val="en-US" w:eastAsia="zh-CN"/>
      </w:rPr>
    </w:pPr>
    <w:r>
      <w:rPr>
        <w:rFonts w:hint="eastAsia"/>
        <w:lang w:val="en-US" w:eastAsia="zh-CN"/>
      </w:rPr>
      <w:t xml:space="preserve">                                                                             石家庄财经商贸学校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0C7C2"/>
    <w:multiLevelType w:val="singleLevel"/>
    <w:tmpl w:val="2210C7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ZWM5YTNhOTBkZDJjYmU0OTE3YTEwOTUyMGU5OTQifQ=="/>
  </w:docVars>
  <w:rsids>
    <w:rsidRoot w:val="00100210"/>
    <w:rsid w:val="00032DC5"/>
    <w:rsid w:val="000369AA"/>
    <w:rsid w:val="0004303D"/>
    <w:rsid w:val="000443CC"/>
    <w:rsid w:val="000740BA"/>
    <w:rsid w:val="00096DF9"/>
    <w:rsid w:val="000C7954"/>
    <w:rsid w:val="000D1E49"/>
    <w:rsid w:val="000F4823"/>
    <w:rsid w:val="00100210"/>
    <w:rsid w:val="00106D80"/>
    <w:rsid w:val="00111F72"/>
    <w:rsid w:val="001240F0"/>
    <w:rsid w:val="00144E6F"/>
    <w:rsid w:val="001674D1"/>
    <w:rsid w:val="00173ADE"/>
    <w:rsid w:val="00185A5E"/>
    <w:rsid w:val="001C1D7A"/>
    <w:rsid w:val="001D31EC"/>
    <w:rsid w:val="00205BDC"/>
    <w:rsid w:val="00215842"/>
    <w:rsid w:val="00256AE1"/>
    <w:rsid w:val="002642B5"/>
    <w:rsid w:val="00270247"/>
    <w:rsid w:val="002C076B"/>
    <w:rsid w:val="002C2950"/>
    <w:rsid w:val="002C70FB"/>
    <w:rsid w:val="002D3BD5"/>
    <w:rsid w:val="002E547F"/>
    <w:rsid w:val="00303F21"/>
    <w:rsid w:val="00310D19"/>
    <w:rsid w:val="0034209D"/>
    <w:rsid w:val="0039446D"/>
    <w:rsid w:val="003974EC"/>
    <w:rsid w:val="003B19CD"/>
    <w:rsid w:val="003B5247"/>
    <w:rsid w:val="003E1855"/>
    <w:rsid w:val="003F30B1"/>
    <w:rsid w:val="003F34B1"/>
    <w:rsid w:val="003F70AE"/>
    <w:rsid w:val="00406E2C"/>
    <w:rsid w:val="004131A4"/>
    <w:rsid w:val="00427B89"/>
    <w:rsid w:val="00437874"/>
    <w:rsid w:val="00441685"/>
    <w:rsid w:val="00444061"/>
    <w:rsid w:val="00455438"/>
    <w:rsid w:val="00473DA8"/>
    <w:rsid w:val="004A081E"/>
    <w:rsid w:val="004A3F01"/>
    <w:rsid w:val="004A7F00"/>
    <w:rsid w:val="004C454F"/>
    <w:rsid w:val="004D55CA"/>
    <w:rsid w:val="004E015D"/>
    <w:rsid w:val="00503079"/>
    <w:rsid w:val="00514ED8"/>
    <w:rsid w:val="00571BAF"/>
    <w:rsid w:val="00581B78"/>
    <w:rsid w:val="005C1BFE"/>
    <w:rsid w:val="005E126F"/>
    <w:rsid w:val="005F298D"/>
    <w:rsid w:val="006076CB"/>
    <w:rsid w:val="006408F8"/>
    <w:rsid w:val="00656CD9"/>
    <w:rsid w:val="00691C72"/>
    <w:rsid w:val="006C416F"/>
    <w:rsid w:val="006D122A"/>
    <w:rsid w:val="006E156C"/>
    <w:rsid w:val="00713B81"/>
    <w:rsid w:val="00732C4A"/>
    <w:rsid w:val="00747A59"/>
    <w:rsid w:val="007D7997"/>
    <w:rsid w:val="008415F4"/>
    <w:rsid w:val="00844648"/>
    <w:rsid w:val="008533CE"/>
    <w:rsid w:val="008614D6"/>
    <w:rsid w:val="008A7114"/>
    <w:rsid w:val="008B6DA4"/>
    <w:rsid w:val="00902908"/>
    <w:rsid w:val="00923E5A"/>
    <w:rsid w:val="009263BB"/>
    <w:rsid w:val="009542C2"/>
    <w:rsid w:val="009576D7"/>
    <w:rsid w:val="0096046B"/>
    <w:rsid w:val="009960D3"/>
    <w:rsid w:val="009C1ADD"/>
    <w:rsid w:val="009C70B9"/>
    <w:rsid w:val="009D52C9"/>
    <w:rsid w:val="00A3043A"/>
    <w:rsid w:val="00A445C7"/>
    <w:rsid w:val="00A822D0"/>
    <w:rsid w:val="00AF42AE"/>
    <w:rsid w:val="00B0289B"/>
    <w:rsid w:val="00B06BF2"/>
    <w:rsid w:val="00B17230"/>
    <w:rsid w:val="00B42E5E"/>
    <w:rsid w:val="00B5098A"/>
    <w:rsid w:val="00B52B47"/>
    <w:rsid w:val="00B9046B"/>
    <w:rsid w:val="00BD39B1"/>
    <w:rsid w:val="00C46046"/>
    <w:rsid w:val="00CB280F"/>
    <w:rsid w:val="00CC065A"/>
    <w:rsid w:val="00D014E2"/>
    <w:rsid w:val="00D22EBC"/>
    <w:rsid w:val="00D32F62"/>
    <w:rsid w:val="00D37ABB"/>
    <w:rsid w:val="00D42C04"/>
    <w:rsid w:val="00D4309A"/>
    <w:rsid w:val="00D72799"/>
    <w:rsid w:val="00D93BBC"/>
    <w:rsid w:val="00DC496D"/>
    <w:rsid w:val="00DC5BD6"/>
    <w:rsid w:val="00DE36EA"/>
    <w:rsid w:val="00DE677C"/>
    <w:rsid w:val="00DF6AB5"/>
    <w:rsid w:val="00DF6C02"/>
    <w:rsid w:val="00E02047"/>
    <w:rsid w:val="00E052B8"/>
    <w:rsid w:val="00E26D88"/>
    <w:rsid w:val="00E47D09"/>
    <w:rsid w:val="00E84F4E"/>
    <w:rsid w:val="00E96D3A"/>
    <w:rsid w:val="00EC2BBA"/>
    <w:rsid w:val="00ED6820"/>
    <w:rsid w:val="00EF0F8C"/>
    <w:rsid w:val="00F444E1"/>
    <w:rsid w:val="00F82C0E"/>
    <w:rsid w:val="00F87C0A"/>
    <w:rsid w:val="00F9175A"/>
    <w:rsid w:val="00F93ED3"/>
    <w:rsid w:val="00FA6E2C"/>
    <w:rsid w:val="00FB6A8C"/>
    <w:rsid w:val="00FD78B9"/>
    <w:rsid w:val="00FE7A39"/>
    <w:rsid w:val="0123324D"/>
    <w:rsid w:val="02D85EB2"/>
    <w:rsid w:val="02EA5917"/>
    <w:rsid w:val="04D81AB7"/>
    <w:rsid w:val="05373B10"/>
    <w:rsid w:val="063E0A32"/>
    <w:rsid w:val="069846F5"/>
    <w:rsid w:val="06E16A66"/>
    <w:rsid w:val="082A2F1E"/>
    <w:rsid w:val="088C4D6A"/>
    <w:rsid w:val="08E94A39"/>
    <w:rsid w:val="091C32AD"/>
    <w:rsid w:val="09467B5D"/>
    <w:rsid w:val="0B430809"/>
    <w:rsid w:val="0B811AED"/>
    <w:rsid w:val="0CD65AC1"/>
    <w:rsid w:val="0CDD0FA5"/>
    <w:rsid w:val="0DB0362D"/>
    <w:rsid w:val="0DF447F8"/>
    <w:rsid w:val="0E160667"/>
    <w:rsid w:val="0E625BB2"/>
    <w:rsid w:val="0EC51CF1"/>
    <w:rsid w:val="0ECB5B6B"/>
    <w:rsid w:val="0F247153"/>
    <w:rsid w:val="0F5B4751"/>
    <w:rsid w:val="102313C5"/>
    <w:rsid w:val="102B5D95"/>
    <w:rsid w:val="10572E1C"/>
    <w:rsid w:val="11A35B3D"/>
    <w:rsid w:val="12C14EC5"/>
    <w:rsid w:val="12FE508A"/>
    <w:rsid w:val="136B7DBC"/>
    <w:rsid w:val="138D6DEC"/>
    <w:rsid w:val="13A4337D"/>
    <w:rsid w:val="149D23A8"/>
    <w:rsid w:val="14D06118"/>
    <w:rsid w:val="151A1B54"/>
    <w:rsid w:val="15B55F3F"/>
    <w:rsid w:val="1623663A"/>
    <w:rsid w:val="164C76BB"/>
    <w:rsid w:val="180B23B7"/>
    <w:rsid w:val="182F1870"/>
    <w:rsid w:val="183B566C"/>
    <w:rsid w:val="198151FF"/>
    <w:rsid w:val="19AE45A5"/>
    <w:rsid w:val="1A1A0373"/>
    <w:rsid w:val="1A255D39"/>
    <w:rsid w:val="1A8C42F1"/>
    <w:rsid w:val="1B0B196C"/>
    <w:rsid w:val="1B6F1962"/>
    <w:rsid w:val="1BE73E70"/>
    <w:rsid w:val="1D2D5EFB"/>
    <w:rsid w:val="1DB64619"/>
    <w:rsid w:val="1DDF63ED"/>
    <w:rsid w:val="1DE0292B"/>
    <w:rsid w:val="1E472722"/>
    <w:rsid w:val="1FD06747"/>
    <w:rsid w:val="20D145C3"/>
    <w:rsid w:val="21A41C3A"/>
    <w:rsid w:val="220D77DF"/>
    <w:rsid w:val="22DB371C"/>
    <w:rsid w:val="22F60DF3"/>
    <w:rsid w:val="23024E6A"/>
    <w:rsid w:val="230706D2"/>
    <w:rsid w:val="23B71BC2"/>
    <w:rsid w:val="24092228"/>
    <w:rsid w:val="24CC572F"/>
    <w:rsid w:val="256E6505"/>
    <w:rsid w:val="257858B7"/>
    <w:rsid w:val="25AB7A3A"/>
    <w:rsid w:val="25E71632"/>
    <w:rsid w:val="26993D37"/>
    <w:rsid w:val="26B81385"/>
    <w:rsid w:val="276D3C0B"/>
    <w:rsid w:val="295E48AC"/>
    <w:rsid w:val="2B373B1E"/>
    <w:rsid w:val="2B3C2EE3"/>
    <w:rsid w:val="2B4071BA"/>
    <w:rsid w:val="2C205860"/>
    <w:rsid w:val="2CD21D51"/>
    <w:rsid w:val="2CD535EF"/>
    <w:rsid w:val="2D0A5F7B"/>
    <w:rsid w:val="2E1D31F2"/>
    <w:rsid w:val="2E54303D"/>
    <w:rsid w:val="2E9D638E"/>
    <w:rsid w:val="2F204FF5"/>
    <w:rsid w:val="2F997C91"/>
    <w:rsid w:val="2FF6078B"/>
    <w:rsid w:val="2FF63037"/>
    <w:rsid w:val="30516BD9"/>
    <w:rsid w:val="3130246D"/>
    <w:rsid w:val="326C2300"/>
    <w:rsid w:val="329545AB"/>
    <w:rsid w:val="32B141B6"/>
    <w:rsid w:val="331A6441"/>
    <w:rsid w:val="332847BE"/>
    <w:rsid w:val="33BE724F"/>
    <w:rsid w:val="33E02FA5"/>
    <w:rsid w:val="347B4A7C"/>
    <w:rsid w:val="355F7A83"/>
    <w:rsid w:val="377A101B"/>
    <w:rsid w:val="37E1109A"/>
    <w:rsid w:val="3A2F7418"/>
    <w:rsid w:val="3ADF74BC"/>
    <w:rsid w:val="3B1479D8"/>
    <w:rsid w:val="3B787F67"/>
    <w:rsid w:val="3D22254D"/>
    <w:rsid w:val="3D4E2867"/>
    <w:rsid w:val="3DF15DAF"/>
    <w:rsid w:val="3E24645A"/>
    <w:rsid w:val="3EDE6333"/>
    <w:rsid w:val="3F0A7128"/>
    <w:rsid w:val="3F4462B2"/>
    <w:rsid w:val="3F921404"/>
    <w:rsid w:val="40082ACD"/>
    <w:rsid w:val="40752BD5"/>
    <w:rsid w:val="40EC7E53"/>
    <w:rsid w:val="41585FD8"/>
    <w:rsid w:val="42DE25ED"/>
    <w:rsid w:val="434B5C74"/>
    <w:rsid w:val="43903FD4"/>
    <w:rsid w:val="44016286"/>
    <w:rsid w:val="446C43E1"/>
    <w:rsid w:val="448E07FB"/>
    <w:rsid w:val="449E32F9"/>
    <w:rsid w:val="44DA4F9C"/>
    <w:rsid w:val="456E55CE"/>
    <w:rsid w:val="45B1409B"/>
    <w:rsid w:val="45F428E0"/>
    <w:rsid w:val="46136855"/>
    <w:rsid w:val="47461A98"/>
    <w:rsid w:val="47503B46"/>
    <w:rsid w:val="47954D07"/>
    <w:rsid w:val="48707C11"/>
    <w:rsid w:val="49415E3C"/>
    <w:rsid w:val="49423F82"/>
    <w:rsid w:val="49F16E16"/>
    <w:rsid w:val="4A833B86"/>
    <w:rsid w:val="4B7B0E38"/>
    <w:rsid w:val="4C3929FC"/>
    <w:rsid w:val="4C8F331D"/>
    <w:rsid w:val="4E2207FC"/>
    <w:rsid w:val="4F4E660B"/>
    <w:rsid w:val="4FC703DF"/>
    <w:rsid w:val="4FD55530"/>
    <w:rsid w:val="501D6AAF"/>
    <w:rsid w:val="506834DC"/>
    <w:rsid w:val="508E59BA"/>
    <w:rsid w:val="511B173E"/>
    <w:rsid w:val="51CC64BF"/>
    <w:rsid w:val="540930BB"/>
    <w:rsid w:val="546E7D01"/>
    <w:rsid w:val="553A466A"/>
    <w:rsid w:val="55857A6A"/>
    <w:rsid w:val="56EA5E07"/>
    <w:rsid w:val="57914433"/>
    <w:rsid w:val="581F37ED"/>
    <w:rsid w:val="58353010"/>
    <w:rsid w:val="58477283"/>
    <w:rsid w:val="5898000A"/>
    <w:rsid w:val="5AF44BD5"/>
    <w:rsid w:val="5B467F48"/>
    <w:rsid w:val="5D69746A"/>
    <w:rsid w:val="5D6D6DA8"/>
    <w:rsid w:val="5DAF14DB"/>
    <w:rsid w:val="608A7C71"/>
    <w:rsid w:val="61E230C5"/>
    <w:rsid w:val="622928C7"/>
    <w:rsid w:val="64BC23C3"/>
    <w:rsid w:val="658F7382"/>
    <w:rsid w:val="667E1760"/>
    <w:rsid w:val="671E6944"/>
    <w:rsid w:val="676A3190"/>
    <w:rsid w:val="6A0C333F"/>
    <w:rsid w:val="6ACF5FB6"/>
    <w:rsid w:val="6BB40184"/>
    <w:rsid w:val="6BD61FBC"/>
    <w:rsid w:val="6CE150BD"/>
    <w:rsid w:val="6EA35E84"/>
    <w:rsid w:val="6F23306A"/>
    <w:rsid w:val="70A1528F"/>
    <w:rsid w:val="70FC60D0"/>
    <w:rsid w:val="713C2FB5"/>
    <w:rsid w:val="71DB6FD3"/>
    <w:rsid w:val="71E415DB"/>
    <w:rsid w:val="71F31B1A"/>
    <w:rsid w:val="7229553C"/>
    <w:rsid w:val="72A02B79"/>
    <w:rsid w:val="73C3376E"/>
    <w:rsid w:val="73F25315"/>
    <w:rsid w:val="74196E47"/>
    <w:rsid w:val="744A61C6"/>
    <w:rsid w:val="74685495"/>
    <w:rsid w:val="75EA4FE2"/>
    <w:rsid w:val="76003C61"/>
    <w:rsid w:val="76296BDC"/>
    <w:rsid w:val="76524935"/>
    <w:rsid w:val="766D277C"/>
    <w:rsid w:val="76726D86"/>
    <w:rsid w:val="773F3B6C"/>
    <w:rsid w:val="77660A29"/>
    <w:rsid w:val="77A12513"/>
    <w:rsid w:val="794F076B"/>
    <w:rsid w:val="79541036"/>
    <w:rsid w:val="79E8523D"/>
    <w:rsid w:val="7B5829EE"/>
    <w:rsid w:val="7B95779E"/>
    <w:rsid w:val="7BF0749C"/>
    <w:rsid w:val="7CCB794F"/>
    <w:rsid w:val="7D225EC3"/>
    <w:rsid w:val="7D7655B5"/>
    <w:rsid w:val="7E9B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1"/>
    <w:pPr>
      <w:ind w:left="758" w:right="765"/>
      <w:outlineLvl w:val="0"/>
    </w:pPr>
    <w:rPr>
      <w:rFonts w:ascii="宋体" w:hAnsi="宋体" w:cs="宋体"/>
      <w:sz w:val="44"/>
      <w:szCs w:val="44"/>
      <w:lang w:val="zh-CN" w:bidi="zh-CN"/>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autoRedefine/>
    <w:unhideWhenUsed/>
    <w:qFormat/>
    <w:uiPriority w:val="1"/>
    <w:pPr>
      <w:spacing w:after="120"/>
    </w:pPr>
  </w:style>
  <w:style w:type="paragraph" w:styleId="4">
    <w:name w:val="toc 3"/>
    <w:basedOn w:val="1"/>
    <w:next w:val="1"/>
    <w:semiHidden/>
    <w:unhideWhenUsed/>
    <w:qFormat/>
    <w:uiPriority w:val="39"/>
    <w:pPr>
      <w:ind w:left="840" w:leftChars="400"/>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Hyperlink"/>
    <w:basedOn w:val="12"/>
    <w:autoRedefine/>
    <w:semiHidden/>
    <w:unhideWhenUsed/>
    <w:qFormat/>
    <w:uiPriority w:val="99"/>
    <w:rPr>
      <w:color w:val="0000FF"/>
      <w:u w:val="single"/>
    </w:rPr>
  </w:style>
  <w:style w:type="character" w:customStyle="1" w:styleId="15">
    <w:name w:val="页眉 字符"/>
    <w:basedOn w:val="12"/>
    <w:link w:val="7"/>
    <w:autoRedefine/>
    <w:qFormat/>
    <w:uiPriority w:val="99"/>
    <w:rPr>
      <w:rFonts w:ascii="Calibri" w:hAnsi="Calibri" w:eastAsia="宋体" w:cs="Times New Roman"/>
      <w:sz w:val="18"/>
      <w:szCs w:val="18"/>
    </w:rPr>
  </w:style>
  <w:style w:type="character" w:customStyle="1" w:styleId="16">
    <w:name w:val="页脚 字符"/>
    <w:basedOn w:val="12"/>
    <w:link w:val="6"/>
    <w:autoRedefine/>
    <w:qFormat/>
    <w:uiPriority w:val="99"/>
    <w:rPr>
      <w:rFonts w:ascii="Calibri" w:hAnsi="Calibri" w:eastAsia="宋体" w:cs="Times New Roman"/>
      <w:sz w:val="18"/>
      <w:szCs w:val="18"/>
    </w:rPr>
  </w:style>
  <w:style w:type="character" w:customStyle="1" w:styleId="17">
    <w:name w:val="批注框文本 字符"/>
    <w:basedOn w:val="12"/>
    <w:link w:val="5"/>
    <w:autoRedefine/>
    <w:semiHidden/>
    <w:qFormat/>
    <w:uiPriority w:val="99"/>
    <w:rPr>
      <w:rFonts w:ascii="Calibri" w:hAnsi="Calibri" w:eastAsia="宋体" w:cs="Times New Roman"/>
      <w:sz w:val="18"/>
      <w:szCs w:val="18"/>
    </w:rPr>
  </w:style>
  <w:style w:type="paragraph" w:customStyle="1" w:styleId="18">
    <w:name w:val="b"/>
    <w:basedOn w:val="1"/>
    <w:autoRedefine/>
    <w:qFormat/>
    <w:uiPriority w:val="0"/>
    <w:pPr>
      <w:spacing w:line="360" w:lineRule="auto"/>
      <w:ind w:firstLine="200" w:firstLineChars="200"/>
    </w:pPr>
    <w:rPr>
      <w:rFonts w:ascii="Times New Roman" w:hAnsi="Times New Roman" w:eastAsia="华文行楷"/>
      <w:szCs w:val="24"/>
    </w:rPr>
  </w:style>
  <w:style w:type="character" w:customStyle="1" w:styleId="19">
    <w:name w:val="正文文本 字符"/>
    <w:basedOn w:val="12"/>
    <w:link w:val="3"/>
    <w:autoRedefine/>
    <w:qFormat/>
    <w:uiPriority w:val="1"/>
    <w:rPr>
      <w:rFonts w:ascii="Calibri" w:hAnsi="Calibri" w:eastAsia="宋体" w:cs="Times New Roman"/>
    </w:rPr>
  </w:style>
  <w:style w:type="paragraph" w:styleId="20">
    <w:name w:val="List Paragraph"/>
    <w:basedOn w:val="1"/>
    <w:autoRedefine/>
    <w:qFormat/>
    <w:uiPriority w:val="34"/>
    <w:pPr>
      <w:ind w:firstLine="420" w:firstLineChars="200"/>
    </w:pPr>
  </w:style>
  <w:style w:type="character" w:customStyle="1" w:styleId="21">
    <w:name w:val="font21"/>
    <w:basedOn w:val="12"/>
    <w:autoRedefine/>
    <w:qFormat/>
    <w:uiPriority w:val="0"/>
    <w:rPr>
      <w:rFonts w:ascii="Calibri" w:hAnsi="Calibri" w:cs="Calibri"/>
      <w:color w:val="000000"/>
      <w:sz w:val="22"/>
      <w:szCs w:val="22"/>
      <w:u w:val="none"/>
    </w:rPr>
  </w:style>
  <w:style w:type="character" w:customStyle="1" w:styleId="22">
    <w:name w:val="font31"/>
    <w:basedOn w:val="12"/>
    <w:autoRedefine/>
    <w:qFormat/>
    <w:uiPriority w:val="0"/>
    <w:rPr>
      <w:rFonts w:hint="eastAsia" w:ascii="宋体" w:hAnsi="宋体" w:eastAsia="宋体" w:cs="宋体"/>
      <w:color w:val="000000"/>
      <w:sz w:val="22"/>
      <w:szCs w:val="22"/>
      <w:u w:val="none"/>
    </w:rPr>
  </w:style>
  <w:style w:type="character" w:customStyle="1" w:styleId="23">
    <w:name w:val="font41"/>
    <w:basedOn w:val="12"/>
    <w:autoRedefine/>
    <w:qFormat/>
    <w:uiPriority w:val="0"/>
    <w:rPr>
      <w:rFonts w:hint="eastAsia" w:ascii="宋体" w:hAnsi="宋体" w:eastAsia="宋体" w:cs="宋体"/>
      <w:color w:val="000000"/>
      <w:sz w:val="30"/>
      <w:szCs w:val="30"/>
      <w:u w:val="none"/>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WPSOffice手动目录 3"/>
    <w:autoRedefine/>
    <w:qFormat/>
    <w:uiPriority w:val="0"/>
    <w:pPr>
      <w:ind w:leftChars="400"/>
    </w:pPr>
    <w:rPr>
      <w:rFonts w:ascii="Times New Roman" w:hAnsi="Times New Roman" w:eastAsia="宋体" w:cs="Times New Roman"/>
      <w:sz w:val="20"/>
      <w:szCs w:val="20"/>
    </w:rPr>
  </w:style>
  <w:style w:type="character" w:customStyle="1" w:styleId="27">
    <w:name w:val="font11"/>
    <w:basedOn w:val="12"/>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66E856-85F1-4140-870C-932F9E89B555}">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22</Pages>
  <Words>11533</Words>
  <Characters>11852</Characters>
  <Lines>70</Lines>
  <Paragraphs>19</Paragraphs>
  <TotalTime>152</TotalTime>
  <ScaleCrop>false</ScaleCrop>
  <LinksUpToDate>false</LinksUpToDate>
  <CharactersWithSpaces>12315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2020-05-01T02:55:00Z</dcterms:created>
  <dc:creator>HP</dc:creator>
  <cp:lastModifiedBy>payson</cp:lastModifiedBy>
  <dcterms:modified xsi:type="dcterms:W3CDTF">2024-03-13T05:09:18Z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B574BF43E1BA4B108AFB897567076DED</vt:lpwstr>
  </property>
</Properties>
</file>