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滨州沾化2GW渔光互补发电项目</w:t>
      </w:r>
    </w:p>
    <w:p>
      <w:pPr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光伏组件询价采购邀请函</w:t>
      </w:r>
    </w:p>
    <w:p>
      <w:pPr>
        <w:adjustRightInd w:val="0"/>
        <w:snapToGrid w:val="0"/>
        <w:spacing w:line="240" w:lineRule="auto"/>
        <w:jc w:val="right"/>
        <w:rPr>
          <w:rFonts w:hint="eastAsia" w:ascii="宋体" w:hAnsi="宋体" w:eastAsia="宋体"/>
          <w:sz w:val="24"/>
          <w:highlight w:val="none"/>
          <w:lang w:val="en-US" w:eastAsia="zh-CN"/>
        </w:rPr>
      </w:pPr>
    </w:p>
    <w:p>
      <w:pPr>
        <w:adjustRightInd w:val="0"/>
        <w:snapToGrid w:val="0"/>
        <w:spacing w:line="240" w:lineRule="auto"/>
        <w:jc w:val="righ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4"/>
          <w:highlight w:val="none"/>
          <w:lang w:val="en-US" w:eastAsia="zh-CN"/>
        </w:rPr>
        <w:t>采购编号：ZHXM-GFZJ-202308</w:t>
      </w:r>
    </w:p>
    <w:p>
      <w:pPr>
        <w:spacing w:line="360" w:lineRule="auto"/>
        <w:ind w:firstLine="482" w:firstLineChars="200"/>
        <w:rPr>
          <w:rFonts w:ascii="宋体"/>
          <w:b/>
          <w:sz w:val="24"/>
        </w:rPr>
      </w:pPr>
      <w:r>
        <w:rPr>
          <w:rFonts w:ascii="宋体" w:hAnsi="宋体"/>
          <w:b/>
          <w:sz w:val="24"/>
        </w:rPr>
        <w:t>1.</w:t>
      </w:r>
      <w:r>
        <w:rPr>
          <w:rFonts w:hint="eastAsia" w:ascii="宋体" w:hAnsi="宋体"/>
          <w:b/>
          <w:sz w:val="24"/>
        </w:rPr>
        <w:t>采购条件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highlight w:val="none"/>
          <w:lang w:val="en-US" w:eastAsia="zh-CN"/>
        </w:rPr>
      </w:pPr>
      <w:r>
        <w:rPr>
          <w:rFonts w:hint="eastAsia" w:ascii="宋体" w:hAnsi="宋体"/>
          <w:sz w:val="24"/>
        </w:rPr>
        <w:t>本采购项目为</w:t>
      </w:r>
      <w:r>
        <w:rPr>
          <w:rFonts w:hint="eastAsia" w:ascii="宋体" w:hAnsi="宋体"/>
          <w:sz w:val="24"/>
          <w:highlight w:val="none"/>
          <w:lang w:val="en-US" w:eastAsia="zh-CN"/>
        </w:rPr>
        <w:t>滨州沾化区2GW渔光互补发电</w:t>
      </w:r>
      <w:r>
        <w:rPr>
          <w:rFonts w:hint="eastAsia" w:ascii="宋体" w:hAnsi="宋体"/>
          <w:sz w:val="24"/>
          <w:highlight w:val="none"/>
        </w:rPr>
        <w:t>项目</w:t>
      </w:r>
      <w:bookmarkStart w:id="0" w:name="_GoBack"/>
      <w:bookmarkEnd w:id="0"/>
      <w:r>
        <w:rPr>
          <w:rFonts w:hint="eastAsia" w:ascii="宋体" w:hAnsi="宋体"/>
          <w:sz w:val="24"/>
          <w:highlight w:val="none"/>
          <w:lang w:eastAsia="zh-CN"/>
        </w:rPr>
        <w:t>（</w:t>
      </w:r>
      <w:r>
        <w:rPr>
          <w:rFonts w:hint="eastAsia" w:ascii="宋体" w:hAnsi="宋体"/>
          <w:sz w:val="24"/>
          <w:highlight w:val="none"/>
          <w:lang w:val="en-US" w:eastAsia="zh-CN"/>
        </w:rPr>
        <w:t>以下简称沾化项目</w:t>
      </w:r>
      <w:r>
        <w:rPr>
          <w:rFonts w:hint="eastAsia" w:ascii="宋体" w:hAnsi="宋体"/>
          <w:sz w:val="24"/>
          <w:highlight w:val="none"/>
          <w:lang w:eastAsia="zh-CN"/>
        </w:rPr>
        <w:t>）</w:t>
      </w:r>
      <w:r>
        <w:rPr>
          <w:rFonts w:hint="eastAsia" w:ascii="宋体" w:hAnsi="宋体"/>
          <w:sz w:val="24"/>
        </w:rPr>
        <w:t>，采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购方为中化学西南工程科技有限公司、信息产业电子第十一设计研究院科技工程股份有限公司、中国水利水电第十工程局有限公司联合招标。</w:t>
      </w:r>
    </w:p>
    <w:p>
      <w:pPr>
        <w:spacing w:line="360" w:lineRule="auto"/>
        <w:ind w:firstLine="482" w:firstLineChars="200"/>
        <w:rPr>
          <w:rFonts w:hint="eastAsia" w:ascii="宋体" w:eastAsia="宋体"/>
          <w:b/>
          <w:sz w:val="24"/>
          <w:lang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>2</w:t>
      </w:r>
      <w:r>
        <w:rPr>
          <w:rFonts w:ascii="宋体" w:hAnsi="宋体"/>
          <w:b/>
          <w:sz w:val="24"/>
        </w:rPr>
        <w:t>.</w:t>
      </w:r>
      <w:r>
        <w:rPr>
          <w:rFonts w:hint="eastAsia" w:ascii="宋体" w:hAnsi="宋体"/>
          <w:b/>
          <w:sz w:val="24"/>
        </w:rPr>
        <w:t>采购</w:t>
      </w:r>
      <w:r>
        <w:rPr>
          <w:rFonts w:hint="eastAsia" w:ascii="宋体" w:hAnsi="宋体"/>
          <w:b/>
          <w:sz w:val="24"/>
          <w:lang w:val="en-US" w:eastAsia="zh-CN"/>
        </w:rPr>
        <w:t>内容</w:t>
      </w:r>
    </w:p>
    <w:p>
      <w:pPr>
        <w:pStyle w:val="2"/>
        <w:spacing w:line="360" w:lineRule="auto"/>
        <w:ind w:left="0" w:leftChars="0" w:firstLine="0" w:firstLineChars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kern w:val="2"/>
          <w:sz w:val="24"/>
          <w:szCs w:val="24"/>
          <w:highlight w:val="none"/>
          <w:lang w:val="en-US" w:eastAsia="zh-CN" w:bidi="ar-SA"/>
        </w:rPr>
        <w:t xml:space="preserve"> 本批次三家联合询价采购内容为光伏区所需P型光伏组件100MW，全部由标段三中化学西南工程科技有限公司进行采购。具体内容详见下表：</w:t>
      </w:r>
    </w:p>
    <w:tbl>
      <w:tblPr>
        <w:tblStyle w:val="8"/>
        <w:tblW w:w="74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738"/>
        <w:gridCol w:w="966"/>
        <w:gridCol w:w="1000"/>
        <w:gridCol w:w="1758"/>
        <w:gridCol w:w="1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光伏组件需求一览表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</w:t>
            </w: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P型单晶硅双面双玻组件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650Wp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100000000</w:t>
            </w:r>
          </w:p>
        </w:tc>
        <w:tc>
          <w:tcPr>
            <w:tcW w:w="125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收到预付款 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 日内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组件间连接电缆和电连接器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10257</w:t>
            </w:r>
          </w:p>
        </w:tc>
        <w:tc>
          <w:tcPr>
            <w:tcW w:w="12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4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连接器为附属赠送，不进行报价；相关备品备件参照设计要求。</w:t>
            </w:r>
          </w:p>
        </w:tc>
      </w:tr>
    </w:tbl>
    <w:p>
      <w:pPr>
        <w:spacing w:line="360" w:lineRule="auto"/>
        <w:ind w:firstLine="482" w:firstLineChars="200"/>
        <w:rPr>
          <w:rFonts w:ascii="宋体"/>
          <w:b/>
          <w:sz w:val="24"/>
        </w:rPr>
      </w:pPr>
      <w:r>
        <w:rPr>
          <w:rFonts w:ascii="宋体" w:hAnsi="宋体"/>
          <w:b/>
          <w:sz w:val="24"/>
        </w:rPr>
        <w:t>3.</w:t>
      </w:r>
      <w:r>
        <w:rPr>
          <w:rFonts w:hint="eastAsia" w:ascii="宋体" w:hAnsi="宋体"/>
          <w:b/>
          <w:sz w:val="24"/>
          <w:lang w:val="en-US" w:eastAsia="zh-CN"/>
        </w:rPr>
        <w:t>交货期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本标段项目按三期进行建设，本批100MW光伏组件由2023年8月25日开始陆续供应，每日供应不低于3MW，9月30日前供应完毕。</w:t>
      </w:r>
    </w:p>
    <w:p>
      <w:pPr>
        <w:numPr>
          <w:ilvl w:val="0"/>
          <w:numId w:val="1"/>
        </w:numPr>
        <w:spacing w:line="360" w:lineRule="auto"/>
        <w:ind w:firstLine="482" w:firstLineChars="200"/>
        <w:rPr>
          <w:rFonts w:hint="eastAsia" w:ascii="宋体" w:hAnsi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</w:rPr>
        <w:t>结算</w:t>
      </w:r>
      <w:r>
        <w:rPr>
          <w:rFonts w:hint="eastAsia" w:ascii="宋体" w:hAnsi="宋体"/>
          <w:b/>
          <w:sz w:val="24"/>
          <w:lang w:val="en-US" w:eastAsia="zh-CN"/>
        </w:rPr>
        <w:t>与支付</w:t>
      </w:r>
    </w:p>
    <w:p>
      <w:pPr>
        <w:autoSpaceDE w:val="0"/>
        <w:autoSpaceDN w:val="0"/>
        <w:adjustRightInd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本报价总价为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暂估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总价，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按照实际供应且验收合格数量为结算依据。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该合同总价已包含13%增值税及其他税费（若有）、材料供给费、包装费、指导安装费、运输费、装车费、保险费、开机调试费、人员培训费、技术服务费等，以及使用说明书和技术资料及图纸、监造人员食宿所需费用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2.结算与付款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：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-SA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 w:bidi="ar-SA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-SA"/>
        </w:rPr>
        <w:t>）预付款支付比例或金额：每期暂定总量的 10%，卖方需提供的同等金额的履约保函，卖方在买方支付预付款后5个工作日内提供投料的相关证明，否则买方不予支付发货款；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 w:bidi="ar-SA"/>
        </w:rPr>
        <w:t>（2）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-SA"/>
        </w:rPr>
        <w:t>发货款支付比例或金额：每批发货前买方支付该批次发货货物总金额 60%，付款前卖方开具每批次发货货物总金额 100% 的发票送达买方；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-SA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 w:bidi="ar-SA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-SA"/>
        </w:rPr>
        <w:t>）到货款支付比例或金额：每期全部货物到现场 3 个月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 w:bidi="ar-SA"/>
        </w:rPr>
        <w:t>内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-SA"/>
        </w:rPr>
        <w:t>，买方支付至本期到货货物总金额的 95%；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-SA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 w:bidi="ar-SA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-SA"/>
        </w:rPr>
        <w:t>）质保金：无质量问题，自设备安装验收合格之日起 2 年无息支付，买方向卖方支付当期全部货物总金额5%的质保金（在质量保证期开始计算前一个月，可提供同等金额的银行质量保函。履约保函时效为：预付之前开具到试运验收通过后1个月，比例10%，银行质量保函期限可一年一开，保函一年期到期后再续开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-SA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 w:bidi="ar-SA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-SA"/>
        </w:rPr>
        <w:t>）质保期：自整体验收合格并投入运行之日起14年；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-SA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 w:bidi="ar-SA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-SA"/>
        </w:rPr>
        <w:t>）以上款项付款方式为：50%融和e链（账期为6个月内）和50%银行承兑汇票（账期为6个月内），如融和e链和银行承兑汇票付款比例与约定不一致时，双方协商解决。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-SA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 w:bidi="ar-SA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-SA"/>
        </w:rPr>
        <w:t>）发票类型：13%的增值税专用发票，若国家出台新的税收政策，则按新政策执行。</w:t>
      </w:r>
    </w:p>
    <w:p>
      <w:pPr>
        <w:spacing w:line="360" w:lineRule="auto"/>
        <w:ind w:firstLine="482" w:firstLineChars="200"/>
        <w:rPr>
          <w:rFonts w:ascii="宋体"/>
          <w:b/>
          <w:sz w:val="24"/>
        </w:rPr>
      </w:pPr>
      <w:r>
        <w:rPr>
          <w:rFonts w:ascii="宋体" w:hAnsi="宋体"/>
          <w:b/>
          <w:sz w:val="24"/>
        </w:rPr>
        <w:t>5</w:t>
      </w:r>
      <w:r>
        <w:rPr>
          <w:rFonts w:ascii="宋体"/>
          <w:b/>
          <w:sz w:val="24"/>
        </w:rPr>
        <w:t>.</w:t>
      </w:r>
      <w:r>
        <w:rPr>
          <w:rFonts w:hint="eastAsia" w:ascii="宋体" w:hAnsi="宋体"/>
          <w:b/>
          <w:sz w:val="24"/>
        </w:rPr>
        <w:t>技术要求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按照2023年5月份滨州沾化2GW渔光互补发电项目三家单位联合招标时相关技术要求。</w:t>
      </w:r>
    </w:p>
    <w:p>
      <w:pPr>
        <w:spacing w:line="360" w:lineRule="auto"/>
        <w:ind w:firstLine="482" w:firstLineChars="200"/>
        <w:rPr>
          <w:rFonts w:hint="default" w:ascii="宋体" w:eastAsia="宋体"/>
          <w:b/>
          <w:sz w:val="24"/>
          <w:lang w:val="en-US" w:eastAsia="zh-CN"/>
        </w:rPr>
      </w:pPr>
      <w:r>
        <w:rPr>
          <w:rFonts w:ascii="宋体" w:hAnsi="宋体"/>
          <w:b/>
          <w:sz w:val="24"/>
        </w:rPr>
        <w:t>6</w:t>
      </w:r>
      <w:r>
        <w:rPr>
          <w:rFonts w:ascii="宋体"/>
          <w:b/>
          <w:sz w:val="24"/>
        </w:rPr>
        <w:t>.</w:t>
      </w:r>
      <w:r>
        <w:rPr>
          <w:rFonts w:hint="eastAsia" w:ascii="宋体" w:hAnsi="宋体"/>
          <w:b/>
          <w:sz w:val="24"/>
          <w:lang w:val="en-US" w:eastAsia="zh-CN"/>
        </w:rPr>
        <w:t>报价方式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本次报价为一次性报价。于2023年8月14日16：00分前将报价函附件1和附件2以盖章扫描件形式发送至邮箱：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/>
          <w:sz w:val="24"/>
          <w:lang w:val="en-US" w:eastAsia="zh-CN"/>
        </w:rPr>
        <w:t>。超过此报价时间未进行报价函发送的视为放弃报价。附件2偏差表须按实际产品情况进行填写，若发现投标人未按自身实际情况进行填写的均作为废标处理。</w:t>
      </w:r>
    </w:p>
    <w:p>
      <w:pPr>
        <w:spacing w:line="360" w:lineRule="auto"/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招标人方发布中标通知书后，中标单位未能按招标文件和投标文件内容签订合同并供货的，将被中国化学、水电十局、十一科技及相关单位列为限制交易供应商。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7</w:t>
      </w:r>
      <w:r>
        <w:rPr>
          <w:rFonts w:hint="eastAsia" w:ascii="宋体" w:hAnsi="宋体"/>
          <w:b/>
          <w:sz w:val="24"/>
        </w:rPr>
        <w:t>.评审办法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选取经评审的最低价</w:t>
      </w:r>
      <w:r>
        <w:rPr>
          <w:rFonts w:hint="eastAsia" w:ascii="宋体" w:hAnsi="宋体"/>
          <w:sz w:val="24"/>
        </w:rPr>
        <w:t>。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8</w:t>
      </w:r>
      <w:r>
        <w:rPr>
          <w:rFonts w:ascii="宋体" w:hAnsi="宋体"/>
          <w:b/>
          <w:sz w:val="24"/>
        </w:rPr>
        <w:t xml:space="preserve">. </w:t>
      </w:r>
      <w:r>
        <w:rPr>
          <w:rFonts w:hint="eastAsia" w:ascii="宋体" w:hAnsi="宋体"/>
          <w:b/>
          <w:sz w:val="24"/>
        </w:rPr>
        <w:t>联系方式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u w:val="single"/>
          <w:lang w:eastAsia="zh-CN"/>
        </w:rPr>
      </w:pPr>
      <w:r>
        <w:rPr>
          <w:rFonts w:hint="eastAsia" w:ascii="宋体" w:hAnsi="宋体"/>
          <w:sz w:val="24"/>
        </w:rPr>
        <w:t>询价采购方：</w:t>
      </w:r>
      <w:r>
        <w:rPr>
          <w:rFonts w:hint="eastAsia" w:ascii="宋体" w:hAnsi="宋体"/>
          <w:sz w:val="24"/>
          <w:u w:val="single"/>
          <w:lang w:val="en-US" w:eastAsia="zh-CN"/>
        </w:rPr>
        <w:t>中化学西南工程</w:t>
      </w:r>
      <w:r>
        <w:rPr>
          <w:rFonts w:hint="eastAsia" w:ascii="宋体" w:hAnsi="宋体"/>
          <w:sz w:val="24"/>
          <w:u w:val="single"/>
          <w:lang w:eastAsia="zh-CN"/>
        </w:rPr>
        <w:t>科技有限公司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 xml:space="preserve">地    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址：</w:t>
      </w:r>
      <w:r>
        <w:rPr>
          <w:rFonts w:hint="eastAsia" w:ascii="宋体" w:hAnsi="宋体"/>
          <w:sz w:val="24"/>
          <w:u w:val="single"/>
          <w:lang w:val="en-US" w:eastAsia="zh-CN"/>
        </w:rPr>
        <w:t>滨州市沾化区</w:t>
      </w:r>
      <w:r>
        <w:rPr>
          <w:rFonts w:ascii="宋体"/>
          <w:sz w:val="24"/>
          <w:u w:val="single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  系  人：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  <w:u w:val="single"/>
          <w:lang w:val="en-US" w:eastAsia="zh-CN"/>
        </w:rPr>
        <w:t>吴迪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魏征伟</w:t>
      </w:r>
      <w:r>
        <w:rPr>
          <w:rFonts w:hint="eastAsia" w:ascii="宋体" w:hAnsi="宋体"/>
          <w:sz w:val="24"/>
          <w:u w:val="single"/>
        </w:rPr>
        <w:t xml:space="preserve">   </w:t>
      </w:r>
    </w:p>
    <w:p>
      <w:pPr>
        <w:spacing w:line="360" w:lineRule="auto"/>
        <w:ind w:firstLine="480" w:firstLineChars="200"/>
        <w:rPr>
          <w:rFonts w:hint="default" w:asci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联 系 电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话：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  <w:lang w:val="en-US" w:eastAsia="zh-CN"/>
        </w:rPr>
        <w:t>18382136919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13982292845 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spacing w:before="91" w:line="222" w:lineRule="auto"/>
        <w:jc w:val="center"/>
        <w:rPr>
          <w:rFonts w:ascii="黑体" w:hAnsi="黑体" w:eastAsia="黑体" w:cs="黑体"/>
          <w:spacing w:val="19"/>
          <w:sz w:val="28"/>
          <w:szCs w:val="28"/>
        </w:rPr>
      </w:pPr>
    </w:p>
    <w:p>
      <w:pPr>
        <w:pStyle w:val="2"/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before="91" w:line="222" w:lineRule="auto"/>
        <w:jc w:val="center"/>
        <w:rPr>
          <w:rFonts w:hint="default" w:ascii="黑体" w:hAnsi="黑体" w:eastAsia="黑体" w:cs="黑体"/>
          <w:spacing w:val="19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pacing w:val="19"/>
          <w:sz w:val="36"/>
          <w:szCs w:val="36"/>
          <w:lang w:val="en-US" w:eastAsia="zh-CN"/>
        </w:rPr>
        <w:t>报价函</w:t>
      </w:r>
    </w:p>
    <w:p>
      <w:pPr>
        <w:spacing w:before="91" w:line="222" w:lineRule="auto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19"/>
          <w:sz w:val="24"/>
          <w:szCs w:val="24"/>
        </w:rPr>
        <w:t>附</w:t>
      </w:r>
      <w:r>
        <w:rPr>
          <w:rFonts w:ascii="黑体" w:hAnsi="黑体" w:eastAsia="黑体" w:cs="黑体"/>
          <w:spacing w:val="10"/>
          <w:sz w:val="24"/>
          <w:szCs w:val="24"/>
        </w:rPr>
        <w:t>件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>1</w:t>
      </w:r>
      <w:r>
        <w:rPr>
          <w:rFonts w:ascii="黑体" w:hAnsi="黑体" w:eastAsia="黑体" w:cs="黑体"/>
          <w:spacing w:val="10"/>
          <w:sz w:val="24"/>
          <w:szCs w:val="24"/>
        </w:rPr>
        <w:t>：</w:t>
      </w:r>
      <w:r>
        <w:rPr>
          <w:rFonts w:ascii="黑体" w:hAnsi="黑体" w:eastAsia="黑体" w:cs="黑体"/>
          <w:spacing w:val="10"/>
          <w:sz w:val="28"/>
          <w:szCs w:val="28"/>
        </w:rPr>
        <w:t>报价表</w:t>
      </w:r>
    </w:p>
    <w:p>
      <w:pPr>
        <w:spacing w:before="245" w:line="226" w:lineRule="auto"/>
        <w:ind w:left="25"/>
        <w:jc w:val="left"/>
        <w:rPr>
          <w:rFonts w:hint="eastAsia" w:ascii="宋体" w:hAnsi="宋体"/>
          <w:b w:val="0"/>
          <w:bCs/>
          <w:color w:val="000000"/>
          <w:sz w:val="22"/>
          <w:szCs w:val="22"/>
          <w:lang w:val="en-US" w:eastAsia="zh-CN"/>
        </w:rPr>
      </w:pPr>
      <w:r>
        <w:rPr>
          <w:rFonts w:ascii="宋体" w:hAnsi="宋体" w:eastAsia="宋体" w:cs="宋体"/>
          <w:spacing w:val="7"/>
          <w:sz w:val="20"/>
          <w:szCs w:val="20"/>
        </w:rPr>
        <w:t>报价人名称：</w:t>
      </w:r>
      <w:r>
        <w:rPr>
          <w:rFonts w:hint="eastAsia" w:ascii="宋体" w:hAnsi="宋体" w:cs="宋体"/>
          <w:spacing w:val="7"/>
          <w:sz w:val="20"/>
          <w:szCs w:val="20"/>
          <w:lang w:val="en-US" w:eastAsia="zh-CN"/>
        </w:rPr>
        <w:t xml:space="preserve">                                   采购编号：</w:t>
      </w:r>
      <w:r>
        <w:rPr>
          <w:rFonts w:hint="eastAsia" w:ascii="宋体" w:hAnsi="宋体"/>
          <w:b w:val="0"/>
          <w:bCs/>
          <w:color w:val="000000"/>
          <w:sz w:val="22"/>
          <w:szCs w:val="22"/>
          <w:lang w:val="en-US" w:eastAsia="zh-CN"/>
        </w:rPr>
        <w:t>ZHXM-GFZJ-202308</w:t>
      </w:r>
    </w:p>
    <w:p>
      <w:pPr>
        <w:spacing w:line="93" w:lineRule="exact"/>
        <w:jc w:val="left"/>
      </w:pPr>
    </w:p>
    <w:tbl>
      <w:tblPr>
        <w:tblStyle w:val="8"/>
        <w:tblW w:w="866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035"/>
        <w:gridCol w:w="881"/>
        <w:gridCol w:w="779"/>
        <w:gridCol w:w="1148"/>
        <w:gridCol w:w="1111"/>
        <w:gridCol w:w="2400"/>
        <w:gridCol w:w="6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总价(元)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P型单晶硅双面双玻组件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650Wp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100000000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组件间连接电缆和电连接器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该单价为含税到场价，报价有效期：14天。由2023年8月25日开始陆续供应，每日供应不低于3MW，9月30日前供应完毕。</w:t>
            </w:r>
          </w:p>
        </w:tc>
      </w:tr>
    </w:tbl>
    <w:p>
      <w:pPr>
        <w:spacing w:line="240" w:lineRule="auto"/>
        <w:ind w:firstLine="400" w:firstLineChars="200"/>
        <w:rPr>
          <w:rFonts w:hint="eastAsia" w:ascii="宋体" w:hAnsi="宋体" w:eastAsia="宋体" w:cs="宋体"/>
          <w:color w:val="000000"/>
          <w:kern w:val="0"/>
          <w:sz w:val="20"/>
          <w:szCs w:val="2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highlight w:val="none"/>
          <w:lang w:val="en-US" w:eastAsia="zh-CN" w:bidi="ar-SA"/>
        </w:rPr>
        <w:t>付款条件：</w:t>
      </w:r>
    </w:p>
    <w:p>
      <w:pPr>
        <w:spacing w:line="240" w:lineRule="auto"/>
        <w:ind w:firstLine="200" w:firstLineChars="100"/>
        <w:rPr>
          <w:rFonts w:hint="eastAsia" w:ascii="宋体" w:hAnsi="宋体" w:eastAsia="宋体" w:cs="宋体"/>
          <w:color w:val="000000"/>
          <w:kern w:val="0"/>
          <w:sz w:val="20"/>
          <w:szCs w:val="2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highlight w:val="none"/>
          <w:lang w:val="en-US" w:eastAsia="zh-CN" w:bidi="ar-SA"/>
        </w:rPr>
        <w:t>（</w:t>
      </w:r>
      <w:r>
        <w:rPr>
          <w:rFonts w:hint="eastAsia" w:ascii="宋体" w:hAnsi="宋体" w:cs="宋体"/>
          <w:color w:val="000000"/>
          <w:kern w:val="0"/>
          <w:sz w:val="20"/>
          <w:szCs w:val="20"/>
          <w:highlight w:val="none"/>
          <w:lang w:val="en-US" w:eastAsia="zh-CN" w:bidi="ar-SA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highlight w:val="none"/>
          <w:lang w:val="en-US" w:eastAsia="zh-CN" w:bidi="ar-SA"/>
        </w:rPr>
        <w:t>）预付款支付比例或金额：每期暂定总量的 10%，卖方需提供的同等金额的履约保函，卖方在买方支付预付款后5个工作日内提供投料的相关证明，否则买方不予支付发货款；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00" w:firstLineChars="1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0"/>
          <w:szCs w:val="20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  <w:highlight w:val="none"/>
          <w:lang w:val="en-US" w:eastAsia="zh-CN" w:bidi="ar-SA"/>
        </w:rPr>
        <w:t>（2）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highlight w:val="none"/>
          <w:lang w:val="en-US" w:eastAsia="zh-CN" w:bidi="ar-SA"/>
        </w:rPr>
        <w:t>发货款支付比例或金额：每批发货前买方支付该批次发货货物总金额 60%，付款前卖方开具每批次发货货物总金额 100% 的发票送达买方；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00" w:firstLineChars="1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0"/>
          <w:szCs w:val="2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highlight w:val="none"/>
          <w:lang w:val="en-US" w:eastAsia="zh-CN" w:bidi="ar-SA"/>
        </w:rPr>
        <w:t>（</w:t>
      </w:r>
      <w:r>
        <w:rPr>
          <w:rFonts w:hint="eastAsia" w:ascii="宋体" w:hAnsi="宋体" w:cs="宋体"/>
          <w:color w:val="000000"/>
          <w:kern w:val="0"/>
          <w:sz w:val="20"/>
          <w:szCs w:val="20"/>
          <w:highlight w:val="none"/>
          <w:lang w:val="en-US" w:eastAsia="zh-CN" w:bidi="ar-SA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highlight w:val="none"/>
          <w:lang w:val="en-US" w:eastAsia="zh-CN" w:bidi="ar-SA"/>
        </w:rPr>
        <w:t>）到货款支付比例或金额：每期全部货物到现场 3 个月</w:t>
      </w:r>
      <w:r>
        <w:rPr>
          <w:rFonts w:hint="eastAsia" w:ascii="宋体" w:hAnsi="宋体" w:cs="宋体"/>
          <w:color w:val="000000"/>
          <w:kern w:val="0"/>
          <w:sz w:val="20"/>
          <w:szCs w:val="20"/>
          <w:highlight w:val="none"/>
          <w:lang w:val="en-US" w:eastAsia="zh-CN" w:bidi="ar-SA"/>
        </w:rPr>
        <w:t>内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highlight w:val="none"/>
          <w:lang w:val="en-US" w:eastAsia="zh-CN" w:bidi="ar-SA"/>
        </w:rPr>
        <w:t>，买方支付至本期到货货物总金额的 95%；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00" w:firstLineChars="1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0"/>
          <w:szCs w:val="2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highlight w:val="none"/>
          <w:lang w:val="en-US" w:eastAsia="zh-CN" w:bidi="ar-SA"/>
        </w:rPr>
        <w:t>（</w:t>
      </w:r>
      <w:r>
        <w:rPr>
          <w:rFonts w:hint="eastAsia" w:ascii="宋体" w:hAnsi="宋体" w:cs="宋体"/>
          <w:color w:val="000000"/>
          <w:kern w:val="0"/>
          <w:sz w:val="20"/>
          <w:szCs w:val="20"/>
          <w:highlight w:val="none"/>
          <w:lang w:val="en-US" w:eastAsia="zh-CN" w:bidi="ar-SA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highlight w:val="none"/>
          <w:lang w:val="en-US" w:eastAsia="zh-CN" w:bidi="ar-SA"/>
        </w:rPr>
        <w:t>）质保金：无质量问题，自设备安装验收合格之日起 2 年无息支付，买方向卖方支付当期全部货物总金额5%的质保金（在质量保证期开始计算前一个月，可提供同等金额的银行质量保函。履约保函时效为：预付之前开具到试运验收通过后1个月，比例10%，银行质量保函期限可一年一开，保函一年期到期后再续开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00" w:firstLineChars="1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0"/>
          <w:szCs w:val="2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highlight w:val="none"/>
          <w:lang w:val="en-US" w:eastAsia="zh-CN" w:bidi="ar-SA"/>
        </w:rPr>
        <w:t>（</w:t>
      </w:r>
      <w:r>
        <w:rPr>
          <w:rFonts w:hint="eastAsia" w:ascii="宋体" w:hAnsi="宋体" w:cs="宋体"/>
          <w:color w:val="000000"/>
          <w:kern w:val="0"/>
          <w:sz w:val="20"/>
          <w:szCs w:val="20"/>
          <w:highlight w:val="none"/>
          <w:lang w:val="en-US" w:eastAsia="zh-CN" w:bidi="ar-SA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highlight w:val="none"/>
          <w:lang w:val="en-US" w:eastAsia="zh-CN" w:bidi="ar-SA"/>
        </w:rPr>
        <w:t>）质保期：自整体验收合格并投入运行之日起14年；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00" w:firstLineChars="1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0"/>
          <w:szCs w:val="2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highlight w:val="none"/>
          <w:lang w:val="en-US" w:eastAsia="zh-CN" w:bidi="ar-SA"/>
        </w:rPr>
        <w:t>（</w:t>
      </w:r>
      <w:r>
        <w:rPr>
          <w:rFonts w:hint="eastAsia" w:ascii="宋体" w:hAnsi="宋体" w:cs="宋体"/>
          <w:color w:val="000000"/>
          <w:kern w:val="0"/>
          <w:sz w:val="20"/>
          <w:szCs w:val="20"/>
          <w:highlight w:val="none"/>
          <w:lang w:val="en-US" w:eastAsia="zh-CN" w:bidi="ar-SA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highlight w:val="none"/>
          <w:lang w:val="en-US" w:eastAsia="zh-CN" w:bidi="ar-SA"/>
        </w:rPr>
        <w:t>）以上款项付款方式为：50%融和e链（账期为6个月内）和50%银行承兑汇票（账期为6个月内），如融和e链和银行承兑汇票付款比例与约定不一致时，双方协商解决。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00" w:firstLineChars="1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0"/>
          <w:szCs w:val="2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highlight w:val="none"/>
          <w:lang w:val="en-US" w:eastAsia="zh-CN" w:bidi="ar-SA"/>
        </w:rPr>
        <w:t>（</w:t>
      </w:r>
      <w:r>
        <w:rPr>
          <w:rFonts w:hint="eastAsia" w:ascii="宋体" w:hAnsi="宋体" w:cs="宋体"/>
          <w:color w:val="000000"/>
          <w:kern w:val="0"/>
          <w:sz w:val="20"/>
          <w:szCs w:val="20"/>
          <w:highlight w:val="none"/>
          <w:lang w:val="en-US" w:eastAsia="zh-CN" w:bidi="ar-SA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highlight w:val="none"/>
          <w:lang w:val="en-US" w:eastAsia="zh-CN" w:bidi="ar-SA"/>
        </w:rPr>
        <w:t>）发票类型：13%的增值税专用发票，若国家出台新的税收政策，则按新政策执行。</w:t>
      </w:r>
    </w:p>
    <w:p>
      <w:pPr>
        <w:spacing w:before="129" w:line="226" w:lineRule="auto"/>
        <w:ind w:left="25"/>
        <w:jc w:val="left"/>
        <w:rPr>
          <w:rFonts w:hint="eastAsia" w:ascii="宋体" w:hAnsi="宋体" w:cs="宋体"/>
          <w:spacing w:val="8"/>
          <w:sz w:val="21"/>
          <w:szCs w:val="21"/>
          <w:lang w:val="en-US" w:eastAsia="zh-CN"/>
        </w:rPr>
      </w:pPr>
    </w:p>
    <w:p>
      <w:pPr>
        <w:spacing w:before="129" w:line="226" w:lineRule="auto"/>
        <w:ind w:left="25"/>
        <w:jc w:val="left"/>
        <w:rPr>
          <w:rFonts w:hint="default" w:ascii="宋体" w:hAnsi="宋体" w:eastAsia="宋体" w:cs="宋体"/>
          <w:b/>
          <w:bCs/>
          <w:spacing w:val="8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pacing w:val="8"/>
          <w:sz w:val="24"/>
          <w:szCs w:val="24"/>
          <w:lang w:val="en-US" w:eastAsia="zh-CN"/>
        </w:rPr>
        <w:t>报价单位（章）：</w:t>
      </w:r>
    </w:p>
    <w:p>
      <w:pPr>
        <w:spacing w:before="129" w:line="226" w:lineRule="auto"/>
        <w:ind w:left="25"/>
        <w:jc w:val="left"/>
        <w:rPr>
          <w:rFonts w:ascii="宋体" w:hAnsi="宋体" w:eastAsia="宋体" w:cs="宋体"/>
          <w:spacing w:val="8"/>
          <w:sz w:val="24"/>
          <w:szCs w:val="24"/>
        </w:rPr>
      </w:pPr>
    </w:p>
    <w:p>
      <w:pPr>
        <w:pStyle w:val="2"/>
      </w:pPr>
    </w:p>
    <w:p/>
    <w:p>
      <w:pPr>
        <w:spacing w:before="129" w:line="226" w:lineRule="auto"/>
        <w:ind w:left="25"/>
        <w:jc w:val="left"/>
        <w:rPr>
          <w:rFonts w:ascii="宋体" w:hAnsi="宋体" w:eastAsia="宋体" w:cs="宋体"/>
          <w:b/>
          <w:bCs/>
          <w:spacing w:val="6"/>
          <w:sz w:val="24"/>
          <w:szCs w:val="24"/>
        </w:rPr>
      </w:pPr>
      <w:r>
        <w:rPr>
          <w:rFonts w:ascii="宋体" w:hAnsi="宋体" w:eastAsia="宋体" w:cs="宋体"/>
          <w:b/>
          <w:bCs/>
          <w:spacing w:val="8"/>
          <w:sz w:val="24"/>
          <w:szCs w:val="24"/>
        </w:rPr>
        <w:t>报价人代表签字</w:t>
      </w:r>
      <w:r>
        <w:rPr>
          <w:rFonts w:ascii="宋体" w:hAnsi="宋体" w:eastAsia="宋体" w:cs="宋体"/>
          <w:b/>
          <w:bCs/>
          <w:spacing w:val="6"/>
          <w:sz w:val="24"/>
          <w:szCs w:val="24"/>
        </w:rPr>
        <w:t>：</w:t>
      </w:r>
    </w:p>
    <w:p>
      <w:pPr>
        <w:pStyle w:val="2"/>
        <w:rPr>
          <w:rFonts w:ascii="宋体" w:hAnsi="宋体" w:eastAsia="宋体" w:cs="宋体"/>
          <w:b/>
          <w:bCs/>
          <w:spacing w:val="6"/>
          <w:sz w:val="22"/>
          <w:szCs w:val="22"/>
        </w:rPr>
      </w:pPr>
    </w:p>
    <w:p>
      <w:pPr>
        <w:rPr>
          <w:rFonts w:hint="eastAsia" w:ascii="宋体" w:hAnsi="宋体" w:eastAsia="宋体" w:cs="宋体"/>
          <w:b/>
          <w:bCs/>
          <w:spacing w:val="8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8"/>
          <w:sz w:val="24"/>
          <w:szCs w:val="24"/>
          <w:lang w:val="en-US" w:eastAsia="zh-CN"/>
        </w:rPr>
        <w:t>联系电话：                               日期：2023年8月1</w:t>
      </w:r>
      <w:r>
        <w:rPr>
          <w:rFonts w:hint="eastAsia" w:ascii="宋体" w:hAnsi="宋体" w:cs="宋体"/>
          <w:b/>
          <w:bCs/>
          <w:spacing w:val="8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pacing w:val="8"/>
          <w:sz w:val="24"/>
          <w:szCs w:val="24"/>
          <w:lang w:val="en-US" w:eastAsia="zh-CN"/>
        </w:rPr>
        <w:t>日</w:t>
      </w:r>
    </w:p>
    <w:p>
      <w:pPr>
        <w:pStyle w:val="2"/>
        <w:rPr>
          <w:rFonts w:hint="eastAsia" w:ascii="宋体" w:hAnsi="宋体" w:eastAsia="宋体" w:cs="宋体"/>
          <w:spacing w:val="8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pacing w:val="8"/>
          <w:sz w:val="24"/>
          <w:szCs w:val="24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  <w:sectPr>
          <w:head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before="91" w:line="223" w:lineRule="auto"/>
        <w:jc w:val="both"/>
        <w:rPr>
          <w:rFonts w:hint="eastAsia" w:ascii="黑体" w:hAnsi="黑体" w:eastAsia="黑体" w:cs="黑体"/>
          <w:spacing w:val="10"/>
          <w:sz w:val="28"/>
          <w:szCs w:val="28"/>
          <w:lang w:val="en-US" w:eastAsia="zh-CN"/>
        </w:rPr>
      </w:pPr>
      <w:r>
        <w:rPr>
          <w:rFonts w:ascii="黑体" w:hAnsi="黑体" w:eastAsia="黑体" w:cs="黑体"/>
          <w:spacing w:val="19"/>
          <w:sz w:val="28"/>
          <w:szCs w:val="28"/>
        </w:rPr>
        <w:t>附</w:t>
      </w:r>
      <w:r>
        <w:rPr>
          <w:rFonts w:ascii="黑体" w:hAnsi="黑体" w:eastAsia="黑体" w:cs="黑体"/>
          <w:spacing w:val="10"/>
          <w:sz w:val="28"/>
          <w:szCs w:val="28"/>
        </w:rPr>
        <w:t>件</w:t>
      </w:r>
      <w:r>
        <w:rPr>
          <w:rFonts w:ascii="Times New Roman" w:hAnsi="Times New Roman" w:eastAsia="Times New Roman" w:cs="Times New Roman"/>
          <w:spacing w:val="10"/>
          <w:sz w:val="28"/>
          <w:szCs w:val="28"/>
        </w:rPr>
        <w:t>2</w:t>
      </w:r>
      <w:r>
        <w:rPr>
          <w:rFonts w:ascii="黑体" w:hAnsi="黑体" w:eastAsia="黑体" w:cs="黑体"/>
          <w:spacing w:val="10"/>
          <w:sz w:val="28"/>
          <w:szCs w:val="28"/>
        </w:rPr>
        <w:t>：</w:t>
      </w:r>
      <w:r>
        <w:rPr>
          <w:rFonts w:hint="eastAsia" w:ascii="黑体" w:hAnsi="黑体" w:eastAsia="黑体" w:cs="黑体"/>
          <w:spacing w:val="10"/>
          <w:sz w:val="28"/>
          <w:szCs w:val="28"/>
          <w:lang w:val="en-US" w:eastAsia="zh-CN"/>
        </w:rPr>
        <w:t>偏离表</w:t>
      </w:r>
    </w:p>
    <w:p>
      <w:pPr>
        <w:spacing w:before="196" w:line="226" w:lineRule="auto"/>
        <w:ind w:left="11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报价人名称：</w:t>
      </w:r>
    </w:p>
    <w:p>
      <w:pPr>
        <w:spacing w:line="132" w:lineRule="exact"/>
      </w:pPr>
    </w:p>
    <w:tbl>
      <w:tblPr>
        <w:tblStyle w:val="13"/>
        <w:tblW w:w="923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9"/>
        <w:gridCol w:w="2110"/>
        <w:gridCol w:w="61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019" w:type="dxa"/>
            <w:vAlign w:val="center"/>
          </w:tcPr>
          <w:p>
            <w:pPr>
              <w:spacing w:before="286" w:line="229" w:lineRule="auto"/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2110" w:type="dxa"/>
            <w:vAlign w:val="center"/>
          </w:tcPr>
          <w:p>
            <w:pPr>
              <w:spacing w:before="286" w:line="229" w:lineRule="auto"/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偏离内容</w:t>
            </w:r>
          </w:p>
        </w:tc>
        <w:tc>
          <w:tcPr>
            <w:tcW w:w="6109" w:type="dxa"/>
            <w:vAlign w:val="center"/>
          </w:tcPr>
          <w:p>
            <w:pPr>
              <w:spacing w:before="286" w:line="229" w:lineRule="auto"/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具体偏离情况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 w:hRule="atLeast"/>
        </w:trPr>
        <w:tc>
          <w:tcPr>
            <w:tcW w:w="1019" w:type="dxa"/>
            <w:vAlign w:val="center"/>
          </w:tcPr>
          <w:p>
            <w:pPr>
              <w:spacing w:before="286" w:line="22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>
            <w:pPr>
              <w:spacing w:before="286" w:line="229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商务偏离</w:t>
            </w:r>
          </w:p>
        </w:tc>
        <w:tc>
          <w:tcPr>
            <w:tcW w:w="6109" w:type="dxa"/>
            <w:vAlign w:val="center"/>
          </w:tcPr>
          <w:p>
            <w:pPr>
              <w:spacing w:before="286" w:line="229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 w:hRule="atLeast"/>
        </w:trPr>
        <w:tc>
          <w:tcPr>
            <w:tcW w:w="1019" w:type="dxa"/>
            <w:vAlign w:val="center"/>
          </w:tcPr>
          <w:p>
            <w:pPr>
              <w:spacing w:before="286" w:line="22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>
            <w:pPr>
              <w:spacing w:before="286" w:line="229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供货期偏离</w:t>
            </w:r>
          </w:p>
        </w:tc>
        <w:tc>
          <w:tcPr>
            <w:tcW w:w="6109" w:type="dxa"/>
            <w:vAlign w:val="center"/>
          </w:tcPr>
          <w:p>
            <w:pPr>
              <w:spacing w:before="286" w:line="22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3" w:hRule="atLeast"/>
        </w:trPr>
        <w:tc>
          <w:tcPr>
            <w:tcW w:w="1019" w:type="dxa"/>
            <w:vAlign w:val="center"/>
          </w:tcPr>
          <w:p>
            <w:pPr>
              <w:spacing w:before="286" w:line="22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>
            <w:pPr>
              <w:spacing w:before="286" w:line="229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技术偏离</w:t>
            </w:r>
          </w:p>
        </w:tc>
        <w:tc>
          <w:tcPr>
            <w:tcW w:w="6109" w:type="dxa"/>
            <w:vAlign w:val="center"/>
          </w:tcPr>
          <w:p>
            <w:pPr>
              <w:spacing w:before="286" w:line="229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</w:p>
        </w:tc>
      </w:tr>
    </w:tbl>
    <w:p>
      <w:pPr>
        <w:spacing w:line="240" w:lineRule="auto"/>
        <w:jc w:val="left"/>
      </w:pPr>
    </w:p>
    <w:p>
      <w:pPr>
        <w:pStyle w:val="2"/>
      </w:pPr>
    </w:p>
    <w:p>
      <w:pPr>
        <w:rPr>
          <w:rFonts w:hint="default" w:eastAsia="宋体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除以上投标偏离以外，我方保证以上报价符合招标文件及所有设计要求。</w:t>
      </w:r>
    </w:p>
    <w:p/>
    <w:p>
      <w:pPr>
        <w:pStyle w:val="2"/>
      </w:pPr>
    </w:p>
    <w:p/>
    <w:p>
      <w:pPr>
        <w:pStyle w:val="2"/>
      </w:pPr>
    </w:p>
    <w:p>
      <w:pPr>
        <w:spacing w:before="129" w:line="226" w:lineRule="auto"/>
        <w:ind w:left="25"/>
        <w:jc w:val="left"/>
        <w:rPr>
          <w:rFonts w:hint="default" w:ascii="宋体" w:hAnsi="宋体" w:eastAsia="宋体" w:cs="宋体"/>
          <w:b/>
          <w:bCs/>
          <w:spacing w:val="8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pacing w:val="8"/>
          <w:sz w:val="24"/>
          <w:szCs w:val="24"/>
          <w:lang w:val="en-US" w:eastAsia="zh-CN"/>
        </w:rPr>
        <w:t>报价单位（章）：</w:t>
      </w:r>
    </w:p>
    <w:p>
      <w:pPr>
        <w:spacing w:before="129" w:line="226" w:lineRule="auto"/>
        <w:ind w:left="25"/>
        <w:jc w:val="left"/>
        <w:rPr>
          <w:rFonts w:ascii="宋体" w:hAnsi="宋体" w:eastAsia="宋体" w:cs="宋体"/>
          <w:spacing w:val="8"/>
          <w:sz w:val="24"/>
          <w:szCs w:val="24"/>
        </w:rPr>
      </w:pPr>
    </w:p>
    <w:p>
      <w:pPr>
        <w:pStyle w:val="2"/>
      </w:pPr>
    </w:p>
    <w:p/>
    <w:p/>
    <w:p>
      <w:pPr>
        <w:spacing w:before="129" w:line="226" w:lineRule="auto"/>
        <w:ind w:left="25"/>
        <w:jc w:val="left"/>
        <w:rPr>
          <w:rFonts w:ascii="宋体" w:hAnsi="宋体" w:eastAsia="宋体" w:cs="宋体"/>
          <w:b/>
          <w:bCs/>
          <w:spacing w:val="6"/>
          <w:sz w:val="24"/>
          <w:szCs w:val="24"/>
        </w:rPr>
      </w:pPr>
      <w:r>
        <w:rPr>
          <w:rFonts w:ascii="宋体" w:hAnsi="宋体" w:eastAsia="宋体" w:cs="宋体"/>
          <w:b/>
          <w:bCs/>
          <w:spacing w:val="8"/>
          <w:sz w:val="24"/>
          <w:szCs w:val="24"/>
        </w:rPr>
        <w:t>报价人代表签字</w:t>
      </w:r>
      <w:r>
        <w:rPr>
          <w:rFonts w:ascii="宋体" w:hAnsi="宋体" w:eastAsia="宋体" w:cs="宋体"/>
          <w:b/>
          <w:bCs/>
          <w:spacing w:val="6"/>
          <w:sz w:val="24"/>
          <w:szCs w:val="24"/>
        </w:rPr>
        <w:t>：</w:t>
      </w:r>
    </w:p>
    <w:p>
      <w:pPr>
        <w:pStyle w:val="2"/>
        <w:rPr>
          <w:rFonts w:ascii="宋体" w:hAnsi="宋体" w:eastAsia="宋体" w:cs="宋体"/>
          <w:b/>
          <w:bCs/>
          <w:spacing w:val="6"/>
          <w:sz w:val="22"/>
          <w:szCs w:val="22"/>
        </w:rPr>
      </w:pPr>
    </w:p>
    <w:p>
      <w:pPr>
        <w:rPr>
          <w:rFonts w:hint="eastAsia" w:ascii="宋体" w:hAnsi="宋体" w:eastAsia="宋体" w:cs="宋体"/>
          <w:b/>
          <w:bCs/>
          <w:spacing w:val="8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8"/>
          <w:sz w:val="24"/>
          <w:szCs w:val="24"/>
          <w:lang w:val="en-US" w:eastAsia="zh-CN"/>
        </w:rPr>
        <w:t>联系电话：                               日期：2023年8月1</w:t>
      </w:r>
      <w:r>
        <w:rPr>
          <w:rFonts w:hint="eastAsia" w:ascii="宋体" w:hAnsi="宋体" w:cs="宋体"/>
          <w:b/>
          <w:bCs/>
          <w:spacing w:val="8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pacing w:val="8"/>
          <w:sz w:val="24"/>
          <w:szCs w:val="24"/>
          <w:lang w:val="en-US" w:eastAsia="zh-CN"/>
        </w:rPr>
        <w:t>日</w:t>
      </w: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position w:val="-9"/>
      </w:rPr>
    </w:pPr>
    <w:r>
      <w:rPr>
        <w:position w:val="-9"/>
      </w:rPr>
      <w:drawing>
        <wp:inline distT="0" distB="0" distL="0" distR="0">
          <wp:extent cx="2261235" cy="294005"/>
          <wp:effectExtent l="0" t="0" r="9525" b="10795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1616" cy="294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6"/>
      <w:jc w:val="center"/>
      <w:rPr>
        <w:position w:val="-8"/>
      </w:rPr>
    </w:pPr>
    <w:r>
      <w:rPr>
        <w:position w:val="-8"/>
      </w:rPr>
      <w:drawing>
        <wp:inline distT="0" distB="0" distL="0" distR="0">
          <wp:extent cx="2593340" cy="240030"/>
          <wp:effectExtent l="0" t="0" r="12700" b="3810"/>
          <wp:docPr id="3" name="I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 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93847" cy="240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6"/>
      <w:jc w:val="center"/>
      <w:rPr>
        <w:rFonts w:ascii="宋体" w:hAnsi="宋体" w:eastAsia="宋体" w:cs="宋体"/>
        <w:sz w:val="19"/>
        <w:szCs w:val="19"/>
      </w:rPr>
    </w:pPr>
    <w:r>
      <w:rPr>
        <w:position w:val="-9"/>
      </w:rPr>
      <w:drawing>
        <wp:inline distT="0" distB="0" distL="0" distR="0">
          <wp:extent cx="389890" cy="290830"/>
          <wp:effectExtent l="0" t="0" r="6350" b="13970"/>
          <wp:docPr id="1" name="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90143" cy="291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 w:val="0"/>
        <w:bCs w:val="0"/>
        <w:spacing w:val="-27"/>
        <w:sz w:val="20"/>
        <w:szCs w:val="20"/>
        <w14:textOutline w14:w="3472" w14:cap="sq" w14:cmpd="sng">
          <w14:solidFill>
            <w14:srgbClr w14:val="000000"/>
          </w14:solidFill>
          <w14:prstDash w14:val="solid"/>
          <w14:bevel/>
        </w14:textOutline>
      </w:rPr>
      <w:t>中</w:t>
    </w:r>
    <w:r>
      <w:rPr>
        <w:rFonts w:hint="eastAsia" w:ascii="宋体" w:hAnsi="宋体" w:eastAsia="宋体" w:cs="宋体"/>
        <w:b w:val="0"/>
        <w:bCs w:val="0"/>
        <w:spacing w:val="-27"/>
        <w:sz w:val="20"/>
        <w:szCs w:val="20"/>
        <w:lang w:val="en-US" w:eastAsia="zh-CN"/>
        <w14:textOutline w14:w="3472" w14:cap="sq" w14:cmpd="sng">
          <w14:solidFill>
            <w14:srgbClr w14:val="000000"/>
          </w14:solidFill>
          <w14:prstDash w14:val="solid"/>
          <w14:bevel/>
        </w14:textOutline>
      </w:rPr>
      <w:t xml:space="preserve"> </w:t>
    </w:r>
    <w:r>
      <w:rPr>
        <w:rFonts w:hint="eastAsia" w:ascii="宋体" w:hAnsi="宋体" w:eastAsia="宋体" w:cs="宋体"/>
        <w:b w:val="0"/>
        <w:bCs w:val="0"/>
        <w:spacing w:val="-26"/>
        <w:sz w:val="20"/>
        <w:szCs w:val="20"/>
        <w14:textOutline w14:w="3472" w14:cap="sq" w14:cmpd="sng">
          <w14:solidFill>
            <w14:srgbClr w14:val="000000"/>
          </w14:solidFill>
          <w14:prstDash w14:val="solid"/>
          <w14:bevel/>
        </w14:textOutline>
      </w:rPr>
      <w:t>化</w:t>
    </w:r>
    <w:r>
      <w:rPr>
        <w:rFonts w:hint="eastAsia" w:ascii="宋体" w:hAnsi="宋体" w:eastAsia="宋体" w:cs="宋体"/>
        <w:b w:val="0"/>
        <w:bCs w:val="0"/>
        <w:spacing w:val="-26"/>
        <w:sz w:val="20"/>
        <w:szCs w:val="20"/>
        <w:lang w:val="en-US" w:eastAsia="zh-CN"/>
        <w14:textOutline w14:w="3472" w14:cap="sq" w14:cmpd="sng">
          <w14:solidFill>
            <w14:srgbClr w14:val="000000"/>
          </w14:solidFill>
          <w14:prstDash w14:val="solid"/>
          <w14:bevel/>
        </w14:textOutline>
      </w:rPr>
      <w:t xml:space="preserve"> </w:t>
    </w:r>
    <w:r>
      <w:rPr>
        <w:rFonts w:hint="eastAsia" w:ascii="宋体" w:hAnsi="宋体" w:eastAsia="宋体" w:cs="宋体"/>
        <w:b w:val="0"/>
        <w:bCs w:val="0"/>
        <w:spacing w:val="-26"/>
        <w:sz w:val="20"/>
        <w:szCs w:val="20"/>
        <w14:textOutline w14:w="3472" w14:cap="sq" w14:cmpd="sng">
          <w14:solidFill>
            <w14:srgbClr w14:val="000000"/>
          </w14:solidFill>
          <w14:prstDash w14:val="solid"/>
          <w14:bevel/>
        </w14:textOutline>
      </w:rPr>
      <w:t>学</w:t>
    </w:r>
    <w:r>
      <w:rPr>
        <w:rFonts w:hint="eastAsia" w:ascii="宋体" w:hAnsi="宋体" w:eastAsia="宋体" w:cs="宋体"/>
        <w:b w:val="0"/>
        <w:bCs w:val="0"/>
        <w:spacing w:val="-26"/>
        <w:sz w:val="20"/>
        <w:szCs w:val="20"/>
        <w:lang w:val="en-US" w:eastAsia="zh-CN"/>
        <w14:textOutline w14:w="3472" w14:cap="sq" w14:cmpd="sng">
          <w14:solidFill>
            <w14:srgbClr w14:val="000000"/>
          </w14:solidFill>
          <w14:prstDash w14:val="solid"/>
          <w14:bevel/>
        </w14:textOutline>
      </w:rPr>
      <w:t xml:space="preserve"> </w:t>
    </w:r>
    <w:r>
      <w:rPr>
        <w:rFonts w:hint="eastAsia" w:ascii="宋体" w:hAnsi="宋体" w:eastAsia="宋体" w:cs="宋体"/>
        <w:b w:val="0"/>
        <w:bCs w:val="0"/>
        <w:spacing w:val="-26"/>
        <w:sz w:val="20"/>
        <w:szCs w:val="20"/>
        <w14:textOutline w14:w="3472" w14:cap="sq" w14:cmpd="sng">
          <w14:solidFill>
            <w14:srgbClr w14:val="000000"/>
          </w14:solidFill>
          <w14:prstDash w14:val="solid"/>
          <w14:bevel/>
        </w14:textOutline>
      </w:rPr>
      <w:t>西</w:t>
    </w:r>
    <w:r>
      <w:rPr>
        <w:rFonts w:hint="eastAsia" w:ascii="宋体" w:hAnsi="宋体" w:eastAsia="宋体" w:cs="宋体"/>
        <w:b w:val="0"/>
        <w:bCs w:val="0"/>
        <w:spacing w:val="-26"/>
        <w:sz w:val="20"/>
        <w:szCs w:val="20"/>
        <w:lang w:val="en-US" w:eastAsia="zh-CN"/>
        <w14:textOutline w14:w="3472" w14:cap="sq" w14:cmpd="sng">
          <w14:solidFill>
            <w14:srgbClr w14:val="000000"/>
          </w14:solidFill>
          <w14:prstDash w14:val="solid"/>
          <w14:bevel/>
        </w14:textOutline>
      </w:rPr>
      <w:t xml:space="preserve"> </w:t>
    </w:r>
    <w:r>
      <w:rPr>
        <w:rFonts w:hint="eastAsia" w:ascii="宋体" w:hAnsi="宋体" w:eastAsia="宋体" w:cs="宋体"/>
        <w:b w:val="0"/>
        <w:bCs w:val="0"/>
        <w:spacing w:val="-26"/>
        <w:sz w:val="20"/>
        <w:szCs w:val="20"/>
        <w14:textOutline w14:w="3472" w14:cap="sq" w14:cmpd="sng">
          <w14:solidFill>
            <w14:srgbClr w14:val="000000"/>
          </w14:solidFill>
          <w14:prstDash w14:val="solid"/>
          <w14:bevel/>
        </w14:textOutline>
      </w:rPr>
      <w:t>南</w:t>
    </w:r>
    <w:r>
      <w:rPr>
        <w:rFonts w:hint="eastAsia" w:ascii="宋体" w:hAnsi="宋体" w:eastAsia="宋体" w:cs="宋体"/>
        <w:b w:val="0"/>
        <w:bCs w:val="0"/>
        <w:spacing w:val="-26"/>
        <w:sz w:val="20"/>
        <w:szCs w:val="20"/>
        <w:lang w:val="en-US" w:eastAsia="zh-CN"/>
        <w14:textOutline w14:w="3472" w14:cap="sq" w14:cmpd="sng">
          <w14:solidFill>
            <w14:srgbClr w14:val="000000"/>
          </w14:solidFill>
          <w14:prstDash w14:val="solid"/>
          <w14:bevel/>
        </w14:textOutline>
      </w:rPr>
      <w:t xml:space="preserve"> </w:t>
    </w:r>
    <w:r>
      <w:rPr>
        <w:rFonts w:hint="eastAsia" w:ascii="宋体" w:hAnsi="宋体" w:eastAsia="宋体" w:cs="宋体"/>
        <w:b w:val="0"/>
        <w:bCs w:val="0"/>
        <w:spacing w:val="-26"/>
        <w:sz w:val="20"/>
        <w:szCs w:val="20"/>
        <w14:textOutline w14:w="3472" w14:cap="sq" w14:cmpd="sng">
          <w14:solidFill>
            <w14:srgbClr w14:val="000000"/>
          </w14:solidFill>
          <w14:prstDash w14:val="solid"/>
          <w14:bevel/>
        </w14:textOutline>
      </w:rPr>
      <w:t>工</w:t>
    </w:r>
    <w:r>
      <w:rPr>
        <w:rFonts w:hint="eastAsia" w:ascii="宋体" w:hAnsi="宋体" w:eastAsia="宋体" w:cs="宋体"/>
        <w:b w:val="0"/>
        <w:bCs w:val="0"/>
        <w:spacing w:val="-26"/>
        <w:sz w:val="20"/>
        <w:szCs w:val="20"/>
        <w:lang w:val="en-US" w:eastAsia="zh-CN"/>
        <w14:textOutline w14:w="3472" w14:cap="sq" w14:cmpd="sng">
          <w14:solidFill>
            <w14:srgbClr w14:val="000000"/>
          </w14:solidFill>
          <w14:prstDash w14:val="solid"/>
          <w14:bevel/>
        </w14:textOutline>
      </w:rPr>
      <w:t xml:space="preserve"> </w:t>
    </w:r>
    <w:r>
      <w:rPr>
        <w:rFonts w:hint="eastAsia" w:ascii="宋体" w:hAnsi="宋体" w:eastAsia="宋体" w:cs="宋体"/>
        <w:b w:val="0"/>
        <w:bCs w:val="0"/>
        <w:spacing w:val="-26"/>
        <w:sz w:val="20"/>
        <w:szCs w:val="20"/>
        <w14:textOutline w14:w="3472" w14:cap="sq" w14:cmpd="sng">
          <w14:solidFill>
            <w14:srgbClr w14:val="000000"/>
          </w14:solidFill>
          <w14:prstDash w14:val="solid"/>
          <w14:bevel/>
        </w14:textOutline>
      </w:rPr>
      <w:t>程</w:t>
    </w:r>
    <w:r>
      <w:rPr>
        <w:rFonts w:hint="eastAsia" w:ascii="宋体" w:hAnsi="宋体" w:eastAsia="宋体" w:cs="宋体"/>
        <w:b w:val="0"/>
        <w:bCs w:val="0"/>
        <w:spacing w:val="-26"/>
        <w:sz w:val="20"/>
        <w:szCs w:val="20"/>
        <w:lang w:val="en-US" w:eastAsia="zh-CN"/>
        <w14:textOutline w14:w="3472" w14:cap="sq" w14:cmpd="sng">
          <w14:solidFill>
            <w14:srgbClr w14:val="000000"/>
          </w14:solidFill>
          <w14:prstDash w14:val="solid"/>
          <w14:bevel/>
        </w14:textOutline>
      </w:rPr>
      <w:t xml:space="preserve"> </w:t>
    </w:r>
    <w:r>
      <w:rPr>
        <w:rFonts w:hint="eastAsia" w:ascii="宋体" w:hAnsi="宋体" w:eastAsia="宋体" w:cs="宋体"/>
        <w:b w:val="0"/>
        <w:bCs w:val="0"/>
        <w:spacing w:val="-26"/>
        <w:sz w:val="20"/>
        <w:szCs w:val="20"/>
        <w14:textOutline w14:w="3472" w14:cap="sq" w14:cmpd="sng">
          <w14:solidFill>
            <w14:srgbClr w14:val="000000"/>
          </w14:solidFill>
          <w14:prstDash w14:val="solid"/>
          <w14:bevel/>
        </w14:textOutline>
      </w:rPr>
      <w:t>科</w:t>
    </w:r>
    <w:r>
      <w:rPr>
        <w:rFonts w:hint="eastAsia" w:ascii="宋体" w:hAnsi="宋体" w:eastAsia="宋体" w:cs="宋体"/>
        <w:b w:val="0"/>
        <w:bCs w:val="0"/>
        <w:spacing w:val="-26"/>
        <w:sz w:val="20"/>
        <w:szCs w:val="20"/>
        <w:lang w:val="en-US" w:eastAsia="zh-CN"/>
        <w14:textOutline w14:w="3472" w14:cap="sq" w14:cmpd="sng">
          <w14:solidFill>
            <w14:srgbClr w14:val="000000"/>
          </w14:solidFill>
          <w14:prstDash w14:val="solid"/>
          <w14:bevel/>
        </w14:textOutline>
      </w:rPr>
      <w:t xml:space="preserve"> </w:t>
    </w:r>
    <w:r>
      <w:rPr>
        <w:rFonts w:hint="eastAsia" w:ascii="宋体" w:hAnsi="宋体" w:eastAsia="宋体" w:cs="宋体"/>
        <w:b w:val="0"/>
        <w:bCs w:val="0"/>
        <w:spacing w:val="-26"/>
        <w:sz w:val="20"/>
        <w:szCs w:val="20"/>
        <w14:textOutline w14:w="3472" w14:cap="sq" w14:cmpd="sng">
          <w14:solidFill>
            <w14:srgbClr w14:val="000000"/>
          </w14:solidFill>
          <w14:prstDash w14:val="solid"/>
          <w14:bevel/>
        </w14:textOutline>
      </w:rPr>
      <w:t>技</w:t>
    </w:r>
    <w:r>
      <w:rPr>
        <w:rFonts w:hint="eastAsia" w:ascii="宋体" w:hAnsi="宋体" w:eastAsia="宋体" w:cs="宋体"/>
        <w:b w:val="0"/>
        <w:bCs w:val="0"/>
        <w:spacing w:val="-26"/>
        <w:sz w:val="20"/>
        <w:szCs w:val="20"/>
        <w:lang w:val="en-US" w:eastAsia="zh-CN"/>
        <w14:textOutline w14:w="3472" w14:cap="sq" w14:cmpd="sng">
          <w14:solidFill>
            <w14:srgbClr w14:val="000000"/>
          </w14:solidFill>
          <w14:prstDash w14:val="solid"/>
          <w14:bevel/>
        </w14:textOutline>
      </w:rPr>
      <w:t xml:space="preserve"> </w:t>
    </w:r>
    <w:r>
      <w:rPr>
        <w:rFonts w:hint="eastAsia" w:ascii="宋体" w:hAnsi="宋体" w:eastAsia="宋体" w:cs="宋体"/>
        <w:b w:val="0"/>
        <w:bCs w:val="0"/>
        <w:spacing w:val="-26"/>
        <w:sz w:val="20"/>
        <w:szCs w:val="20"/>
        <w14:textOutline w14:w="3472" w14:cap="sq" w14:cmpd="sng">
          <w14:solidFill>
            <w14:srgbClr w14:val="000000"/>
          </w14:solidFill>
          <w14:prstDash w14:val="solid"/>
          <w14:bevel/>
        </w14:textOutline>
      </w:rPr>
      <w:t>有</w:t>
    </w:r>
    <w:r>
      <w:rPr>
        <w:rFonts w:hint="eastAsia" w:ascii="宋体" w:hAnsi="宋体" w:eastAsia="宋体" w:cs="宋体"/>
        <w:b w:val="0"/>
        <w:bCs w:val="0"/>
        <w:spacing w:val="-26"/>
        <w:sz w:val="20"/>
        <w:szCs w:val="20"/>
        <w:lang w:val="en-US" w:eastAsia="zh-CN"/>
        <w14:textOutline w14:w="3472" w14:cap="sq" w14:cmpd="sng">
          <w14:solidFill>
            <w14:srgbClr w14:val="000000"/>
          </w14:solidFill>
          <w14:prstDash w14:val="solid"/>
          <w14:bevel/>
        </w14:textOutline>
      </w:rPr>
      <w:t xml:space="preserve"> </w:t>
    </w:r>
    <w:r>
      <w:rPr>
        <w:rFonts w:hint="eastAsia" w:ascii="宋体" w:hAnsi="宋体" w:eastAsia="宋体" w:cs="宋体"/>
        <w:b w:val="0"/>
        <w:bCs w:val="0"/>
        <w:spacing w:val="-26"/>
        <w:sz w:val="20"/>
        <w:szCs w:val="20"/>
        <w14:textOutline w14:w="3472" w14:cap="sq" w14:cmpd="sng">
          <w14:solidFill>
            <w14:srgbClr w14:val="000000"/>
          </w14:solidFill>
          <w14:prstDash w14:val="solid"/>
          <w14:bevel/>
        </w14:textOutline>
      </w:rPr>
      <w:t>限</w:t>
    </w:r>
    <w:r>
      <w:rPr>
        <w:rFonts w:hint="eastAsia" w:ascii="宋体" w:hAnsi="宋体" w:eastAsia="宋体" w:cs="宋体"/>
        <w:b w:val="0"/>
        <w:bCs w:val="0"/>
        <w:spacing w:val="-26"/>
        <w:sz w:val="20"/>
        <w:szCs w:val="20"/>
        <w:lang w:val="en-US" w:eastAsia="zh-CN"/>
        <w14:textOutline w14:w="3472" w14:cap="sq" w14:cmpd="sng">
          <w14:solidFill>
            <w14:srgbClr w14:val="000000"/>
          </w14:solidFill>
          <w14:prstDash w14:val="solid"/>
          <w14:bevel/>
        </w14:textOutline>
      </w:rPr>
      <w:t xml:space="preserve"> </w:t>
    </w:r>
    <w:r>
      <w:rPr>
        <w:rFonts w:hint="eastAsia" w:ascii="宋体" w:hAnsi="宋体" w:eastAsia="宋体" w:cs="宋体"/>
        <w:b w:val="0"/>
        <w:bCs w:val="0"/>
        <w:spacing w:val="-26"/>
        <w:sz w:val="20"/>
        <w:szCs w:val="20"/>
        <w14:textOutline w14:w="3472" w14:cap="sq" w14:cmpd="sng">
          <w14:solidFill>
            <w14:srgbClr w14:val="000000"/>
          </w14:solidFill>
          <w14:prstDash w14:val="solid"/>
          <w14:bevel/>
        </w14:textOutline>
      </w:rPr>
      <w:t>公</w:t>
    </w:r>
    <w:r>
      <w:rPr>
        <w:rFonts w:hint="eastAsia" w:ascii="宋体" w:hAnsi="宋体" w:eastAsia="宋体" w:cs="宋体"/>
        <w:b w:val="0"/>
        <w:bCs w:val="0"/>
        <w:spacing w:val="-26"/>
        <w:sz w:val="20"/>
        <w:szCs w:val="20"/>
        <w:lang w:val="en-US" w:eastAsia="zh-CN"/>
        <w14:textOutline w14:w="3472" w14:cap="sq" w14:cmpd="sng">
          <w14:solidFill>
            <w14:srgbClr w14:val="000000"/>
          </w14:solidFill>
          <w14:prstDash w14:val="solid"/>
          <w14:bevel/>
        </w14:textOutline>
      </w:rPr>
      <w:t xml:space="preserve"> </w:t>
    </w:r>
    <w:r>
      <w:rPr>
        <w:rFonts w:hint="eastAsia" w:ascii="宋体" w:hAnsi="宋体" w:eastAsia="宋体" w:cs="宋体"/>
        <w:b w:val="0"/>
        <w:bCs w:val="0"/>
        <w:spacing w:val="-26"/>
        <w:sz w:val="20"/>
        <w:szCs w:val="20"/>
        <w14:textOutline w14:w="3472" w14:cap="sq" w14:cmpd="sng">
          <w14:solidFill>
            <w14:srgbClr w14:val="000000"/>
          </w14:solidFill>
          <w14:prstDash w14:val="solid"/>
          <w14:bevel/>
        </w14:textOutline>
      </w:rPr>
      <w:t>司</w:t>
    </w:r>
  </w:p>
  <w:p>
    <w:pPr>
      <w:pStyle w:val="6"/>
      <w:jc w:val="center"/>
      <w:rPr>
        <w:position w:val="-8"/>
      </w:rPr>
    </w:pPr>
  </w:p>
  <w:p>
    <w:pPr>
      <w:pStyle w:val="6"/>
      <w:rPr>
        <w:position w:val="-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position w:val="-8"/>
      </w:rPr>
    </w:pPr>
  </w:p>
  <w:p>
    <w:pPr>
      <w:pStyle w:val="6"/>
      <w:rPr>
        <w:position w:val="-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EE49E6"/>
    <w:multiLevelType w:val="singleLevel"/>
    <w:tmpl w:val="2BEE49E6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ZTM4YWM4NTYxYjYwMjVjNzQ1NmRhNTQ4ZmFhYTIifQ=="/>
  </w:docVars>
  <w:rsids>
    <w:rsidRoot w:val="46D24BDB"/>
    <w:rsid w:val="05410638"/>
    <w:rsid w:val="192F2FF3"/>
    <w:rsid w:val="1F254240"/>
    <w:rsid w:val="2F5A5BA3"/>
    <w:rsid w:val="44FB4CB5"/>
    <w:rsid w:val="46D24BDB"/>
    <w:rsid w:val="4B042433"/>
    <w:rsid w:val="4BE71DFE"/>
    <w:rsid w:val="4CB53302"/>
    <w:rsid w:val="5B417443"/>
    <w:rsid w:val="6A40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0"/>
    <w:pPr>
      <w:ind w:left="600" w:leftChars="600"/>
    </w:pPr>
  </w:style>
  <w:style w:type="paragraph" w:styleId="3">
    <w:name w:val="Normal Indent"/>
    <w:basedOn w:val="1"/>
    <w:qFormat/>
    <w:uiPriority w:val="0"/>
    <w:pPr>
      <w:adjustRightInd w:val="0"/>
      <w:snapToGrid w:val="0"/>
      <w:spacing w:line="460" w:lineRule="exact"/>
      <w:ind w:firstLine="200" w:firstLineChars="200"/>
    </w:pPr>
    <w:rPr>
      <w:rFonts w:ascii="宋体" w:hAnsi="宋体" w:eastAsia="楷体_GB2312"/>
      <w:b/>
      <w:kern w:val="0"/>
      <w:sz w:val="24"/>
      <w:szCs w:val="20"/>
    </w:rPr>
  </w:style>
  <w:style w:type="paragraph" w:styleId="4">
    <w:name w:val="Body Text Indent"/>
    <w:basedOn w:val="1"/>
    <w:qFormat/>
    <w:uiPriority w:val="0"/>
    <w:pPr>
      <w:ind w:firstLine="480"/>
    </w:pPr>
    <w:rPr>
      <w:rFonts w:ascii="宋体"/>
      <w:szCs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unhideWhenUsed/>
    <w:qFormat/>
    <w:uiPriority w:val="99"/>
    <w:pPr>
      <w:ind w:firstLine="420" w:firstLineChars="200"/>
    </w:pPr>
  </w:style>
  <w:style w:type="character" w:customStyle="1" w:styleId="10">
    <w:name w:val="font11"/>
    <w:basedOn w:val="9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1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2">
    <w:name w:val="p0"/>
    <w:basedOn w:val="1"/>
    <w:qFormat/>
    <w:uiPriority w:val="0"/>
    <w:pPr>
      <w:widowControl/>
      <w:jc w:val="left"/>
    </w:pPr>
    <w:rPr>
      <w:kern w:val="0"/>
      <w:szCs w:val="21"/>
    </w:rPr>
  </w:style>
  <w:style w:type="table" w:customStyle="1" w:styleId="13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1978</Words>
  <Characters>2159</Characters>
  <Lines>0</Lines>
  <Paragraphs>0</Paragraphs>
  <TotalTime>15</TotalTime>
  <ScaleCrop>false</ScaleCrop>
  <LinksUpToDate>false</LinksUpToDate>
  <CharactersWithSpaces>2335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2023-07-31T07:14:00Z</dcterms:created>
  <dc:creator>吴敌</dc:creator>
  <cp:lastModifiedBy>魏征伟</cp:lastModifiedBy>
  <dcterms:modified xsi:type="dcterms:W3CDTF">2023-08-13T03:49:11Z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18275A8C52AB446C8AA65B542212E7C6_11</vt:lpwstr>
  </property>
</Properties>
</file>