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ind w:firstLine="482" w:firstLineChars="200"/>
        <w:rPr>
          <w:rFonts w:ascii="宋体" w:hAnsi="宋体" w:cs="宋体"/>
          <w:b/>
          <w:bCs/>
          <w:color w:val="auto"/>
          <w:sz w:val="21"/>
          <w:szCs w:val="21"/>
          <w:highlight w:val="none"/>
        </w:rPr>
      </w:pPr>
      <w:bookmarkStart w:id="0" w:name="OLE_LINK26"/>
      <w:bookmarkStart w:id="1" w:name="_Toc502331787"/>
      <w:bookmarkStart w:id="2" w:name="_Toc509632873"/>
      <w:bookmarkStart w:id="3" w:name="_Toc509632985"/>
      <w:bookmarkStart w:id="4" w:name="_Toc509576592"/>
      <w:bookmarkStart w:id="5" w:name="_Toc501726256"/>
      <w:bookmarkStart w:id="6" w:name="_Toc502332482"/>
      <w:bookmarkStart w:id="7" w:name="_Toc487358379"/>
      <w:bookmarkStart w:id="8" w:name="_Toc487356721"/>
      <w:r>
        <w:rPr>
          <w:rFonts w:ascii="仿宋" w:hAnsi="仿宋" w:eastAsia="仿宋" w:cs="仿宋"/>
          <w:b/>
          <w:color w:val="auto"/>
          <w:szCs w:val="24"/>
          <w:highlight w:val="none"/>
        </w:rPr>
        <w:drawing>
          <wp:inline distT="0" distB="0" distL="0" distR="0">
            <wp:extent cx="2825750" cy="501650"/>
            <wp:effectExtent l="0" t="0" r="0" b="0"/>
            <wp:docPr id="1" name="图片 25" descr="D:\附件1：上海能源科技发展有限公司LOGO\1 上海能源科技发展有限公司 导图-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5" descr="D:\附件1：上海能源科技发展有限公司LOGO\1 上海能源科技发展有限公司 导图-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25750" cy="501650"/>
                    </a:xfrm>
                    <a:prstGeom prst="rect">
                      <a:avLst/>
                    </a:prstGeom>
                    <a:noFill/>
                    <a:ln>
                      <a:noFill/>
                    </a:ln>
                  </pic:spPr>
                </pic:pic>
              </a:graphicData>
            </a:graphic>
          </wp:inline>
        </w:drawing>
      </w:r>
    </w:p>
    <w:p>
      <w:pPr>
        <w:ind w:firstLine="422" w:firstLineChars="200"/>
        <w:jc w:val="center"/>
        <w:rPr>
          <w:rFonts w:ascii="宋体" w:hAnsi="宋体" w:cs="宋体"/>
          <w:b/>
          <w:bCs/>
          <w:color w:val="auto"/>
          <w:sz w:val="21"/>
          <w:szCs w:val="21"/>
          <w:highlight w:val="none"/>
          <w:u w:val="single"/>
        </w:rPr>
      </w:pPr>
    </w:p>
    <w:p>
      <w:pPr>
        <w:ind w:firstLine="422" w:firstLineChars="200"/>
        <w:jc w:val="center"/>
        <w:rPr>
          <w:rFonts w:ascii="宋体" w:hAnsi="宋体" w:cs="宋体"/>
          <w:b/>
          <w:bCs/>
          <w:color w:val="auto"/>
          <w:sz w:val="21"/>
          <w:szCs w:val="21"/>
          <w:highlight w:val="none"/>
          <w:u w:val="single"/>
        </w:rPr>
      </w:pPr>
    </w:p>
    <w:p>
      <w:pPr>
        <w:ind w:firstLine="422" w:firstLineChars="200"/>
        <w:jc w:val="center"/>
        <w:rPr>
          <w:rFonts w:ascii="宋体" w:hAnsi="宋体" w:cs="宋体"/>
          <w:b/>
          <w:bCs/>
          <w:color w:val="auto"/>
          <w:sz w:val="21"/>
          <w:szCs w:val="21"/>
          <w:highlight w:val="none"/>
          <w:u w:val="single"/>
        </w:rPr>
      </w:pPr>
    </w:p>
    <w:p>
      <w:pPr>
        <w:ind w:firstLine="422" w:firstLineChars="200"/>
        <w:jc w:val="center"/>
        <w:rPr>
          <w:rFonts w:ascii="宋体" w:hAnsi="宋体" w:cs="宋体"/>
          <w:b/>
          <w:bCs/>
          <w:color w:val="auto"/>
          <w:sz w:val="21"/>
          <w:szCs w:val="21"/>
          <w:highlight w:val="none"/>
          <w:u w:val="single"/>
        </w:rPr>
      </w:pPr>
    </w:p>
    <w:p>
      <w:pPr>
        <w:ind w:firstLine="602" w:firstLineChars="200"/>
        <w:jc w:val="center"/>
        <w:rPr>
          <w:rFonts w:ascii="宋体" w:hAnsi="宋体" w:cs="宋体"/>
          <w:b/>
          <w:bCs/>
          <w:color w:val="auto"/>
          <w:sz w:val="30"/>
          <w:szCs w:val="30"/>
          <w:highlight w:val="none"/>
          <w:u w:val="single"/>
        </w:rPr>
      </w:pPr>
    </w:p>
    <w:p>
      <w:pPr>
        <w:jc w:val="center"/>
        <w:rPr>
          <w:rFonts w:ascii="宋体" w:hAnsi="宋体" w:cs="宋体"/>
          <w:b/>
          <w:color w:val="auto"/>
          <w:sz w:val="32"/>
          <w:szCs w:val="32"/>
          <w:highlight w:val="none"/>
          <w:u w:val="single"/>
        </w:rPr>
      </w:pPr>
      <w:bookmarkStart w:id="9" w:name="_Toc386986202"/>
      <w:bookmarkStart w:id="10" w:name="_Toc386990497"/>
      <w:bookmarkStart w:id="11" w:name="_Toc386967642"/>
      <w:bookmarkStart w:id="12" w:name="_Toc386967477"/>
      <w:bookmarkStart w:id="13" w:name="_Toc361900732"/>
      <w:r>
        <w:rPr>
          <w:rFonts w:hint="eastAsia" w:ascii="宋体" w:hAnsi="宋体" w:cs="宋体"/>
          <w:b/>
          <w:color w:val="auto"/>
          <w:sz w:val="32"/>
          <w:szCs w:val="32"/>
          <w:highlight w:val="none"/>
          <w:u w:val="single"/>
        </w:rPr>
        <w:t>滨州沾化区2GW渔光互补发电项目一期工程</w:t>
      </w:r>
    </w:p>
    <w:p>
      <w:pPr>
        <w:jc w:val="center"/>
        <w:rPr>
          <w:rFonts w:ascii="宋体" w:hAnsi="宋体" w:cs="宋体"/>
          <w:b/>
          <w:color w:val="auto"/>
          <w:sz w:val="32"/>
          <w:szCs w:val="32"/>
          <w:highlight w:val="none"/>
          <w:u w:val="single"/>
        </w:rPr>
      </w:pPr>
    </w:p>
    <w:p>
      <w:pPr>
        <w:ind w:firstLine="643" w:firstLineChars="200"/>
        <w:jc w:val="left"/>
        <w:rPr>
          <w:rFonts w:ascii="宋体" w:hAnsi="宋体" w:cs="宋体"/>
          <w:b/>
          <w:bCs/>
          <w:color w:val="auto"/>
          <w:sz w:val="32"/>
          <w:szCs w:val="32"/>
          <w:highlight w:val="none"/>
        </w:rPr>
      </w:pPr>
    </w:p>
    <w:p>
      <w:pPr>
        <w:ind w:firstLine="643" w:firstLineChars="200"/>
        <w:jc w:val="left"/>
        <w:rPr>
          <w:rFonts w:ascii="宋体" w:hAnsi="宋体" w:cs="宋体"/>
          <w:b/>
          <w:bCs/>
          <w:color w:val="auto"/>
          <w:sz w:val="32"/>
          <w:szCs w:val="32"/>
          <w:highlight w:val="none"/>
        </w:rPr>
      </w:pPr>
    </w:p>
    <w:bookmarkEnd w:id="9"/>
    <w:bookmarkEnd w:id="10"/>
    <w:bookmarkEnd w:id="11"/>
    <w:bookmarkEnd w:id="12"/>
    <w:bookmarkEnd w:id="13"/>
    <w:p>
      <w:pPr>
        <w:jc w:val="center"/>
        <w:rPr>
          <w:rFonts w:ascii="宋体" w:hAnsi="宋体" w:cs="宋体"/>
          <w:b/>
          <w:color w:val="auto"/>
          <w:sz w:val="32"/>
          <w:szCs w:val="32"/>
          <w:highlight w:val="none"/>
          <w:u w:val="single"/>
        </w:rPr>
      </w:pPr>
      <w:r>
        <w:rPr>
          <w:rFonts w:hint="eastAsia" w:ascii="宋体" w:hAnsi="宋体" w:cs="宋体"/>
          <w:b/>
          <w:color w:val="auto"/>
          <w:sz w:val="32"/>
          <w:szCs w:val="32"/>
          <w:highlight w:val="none"/>
          <w:u w:val="single"/>
        </w:rPr>
        <w:t>组串式逆变器</w:t>
      </w:r>
    </w:p>
    <w:p>
      <w:pPr>
        <w:ind w:firstLine="643" w:firstLineChars="200"/>
        <w:jc w:val="center"/>
        <w:rPr>
          <w:rFonts w:ascii="宋体" w:hAnsi="宋体" w:cs="宋体"/>
          <w:b/>
          <w:color w:val="auto"/>
          <w:sz w:val="32"/>
          <w:szCs w:val="32"/>
          <w:highlight w:val="none"/>
          <w:u w:val="single"/>
        </w:rPr>
      </w:pPr>
    </w:p>
    <w:p>
      <w:pPr>
        <w:jc w:val="center"/>
        <w:rPr>
          <w:rFonts w:ascii="宋体" w:hAnsi="宋体" w:cs="宋体"/>
          <w:b/>
          <w:color w:val="auto"/>
          <w:sz w:val="32"/>
          <w:szCs w:val="32"/>
          <w:highlight w:val="none"/>
        </w:rPr>
      </w:pPr>
      <w:r>
        <w:rPr>
          <w:rFonts w:hint="eastAsia" w:ascii="宋体" w:hAnsi="宋体" w:cs="宋体"/>
          <w:b/>
          <w:color w:val="auto"/>
          <w:sz w:val="32"/>
          <w:szCs w:val="32"/>
          <w:highlight w:val="none"/>
        </w:rPr>
        <w:t>招标技术规范书</w:t>
      </w:r>
    </w:p>
    <w:p>
      <w:pPr>
        <w:ind w:firstLine="422" w:firstLineChars="200"/>
        <w:jc w:val="center"/>
        <w:rPr>
          <w:rFonts w:ascii="宋体" w:hAnsi="宋体" w:cs="宋体"/>
          <w:b/>
          <w:color w:val="auto"/>
          <w:sz w:val="21"/>
          <w:szCs w:val="21"/>
          <w:highlight w:val="none"/>
          <w:u w:val="single"/>
        </w:rPr>
      </w:pPr>
    </w:p>
    <w:p>
      <w:pPr>
        <w:ind w:firstLine="422" w:firstLineChars="200"/>
        <w:jc w:val="center"/>
        <w:rPr>
          <w:rFonts w:ascii="宋体" w:hAnsi="宋体" w:cs="宋体"/>
          <w:b/>
          <w:color w:val="auto"/>
          <w:sz w:val="21"/>
          <w:szCs w:val="21"/>
          <w:highlight w:val="none"/>
          <w:u w:val="single"/>
        </w:rPr>
      </w:pPr>
    </w:p>
    <w:p>
      <w:pPr>
        <w:rPr>
          <w:rFonts w:ascii="宋体" w:hAnsi="宋体" w:cs="宋体"/>
          <w:b/>
          <w:color w:val="auto"/>
          <w:sz w:val="21"/>
          <w:szCs w:val="21"/>
          <w:highlight w:val="none"/>
          <w:u w:val="single"/>
        </w:rPr>
      </w:pPr>
    </w:p>
    <w:p>
      <w:pPr>
        <w:ind w:firstLine="422" w:firstLineChars="200"/>
        <w:jc w:val="center"/>
        <w:rPr>
          <w:rFonts w:ascii="宋体" w:hAnsi="宋体" w:cs="宋体"/>
          <w:b/>
          <w:color w:val="auto"/>
          <w:sz w:val="21"/>
          <w:szCs w:val="21"/>
          <w:highlight w:val="none"/>
          <w:u w:val="single"/>
        </w:rPr>
      </w:pPr>
    </w:p>
    <w:p>
      <w:pPr>
        <w:ind w:firstLine="422" w:firstLineChars="200"/>
        <w:jc w:val="center"/>
        <w:rPr>
          <w:rFonts w:ascii="宋体" w:hAnsi="宋体" w:cs="宋体"/>
          <w:b/>
          <w:color w:val="auto"/>
          <w:sz w:val="21"/>
          <w:szCs w:val="21"/>
          <w:highlight w:val="none"/>
          <w:u w:val="single"/>
        </w:rPr>
      </w:pPr>
    </w:p>
    <w:p>
      <w:pPr>
        <w:ind w:firstLine="422" w:firstLineChars="200"/>
        <w:jc w:val="center"/>
        <w:rPr>
          <w:rFonts w:ascii="宋体" w:hAnsi="宋体" w:cs="宋体"/>
          <w:b/>
          <w:color w:val="auto"/>
          <w:sz w:val="21"/>
          <w:szCs w:val="21"/>
          <w:highlight w:val="none"/>
          <w:u w:val="single"/>
        </w:rPr>
      </w:pPr>
    </w:p>
    <w:p>
      <w:pPr>
        <w:ind w:firstLine="422" w:firstLineChars="200"/>
        <w:jc w:val="center"/>
        <w:rPr>
          <w:rFonts w:ascii="宋体" w:hAnsi="宋体" w:cs="宋体"/>
          <w:b/>
          <w:color w:val="auto"/>
          <w:sz w:val="21"/>
          <w:szCs w:val="21"/>
          <w:highlight w:val="none"/>
          <w:u w:val="single"/>
        </w:rPr>
      </w:pPr>
    </w:p>
    <w:p>
      <w:pPr>
        <w:ind w:firstLine="422" w:firstLineChars="200"/>
        <w:jc w:val="center"/>
        <w:rPr>
          <w:rFonts w:ascii="宋体" w:hAnsi="宋体" w:cs="宋体"/>
          <w:b/>
          <w:color w:val="auto"/>
          <w:sz w:val="21"/>
          <w:szCs w:val="21"/>
          <w:highlight w:val="none"/>
          <w:u w:val="single"/>
        </w:rPr>
      </w:pPr>
    </w:p>
    <w:p>
      <w:pPr>
        <w:rPr>
          <w:rFonts w:ascii="宋体" w:hAnsi="宋体" w:cs="宋体"/>
          <w:b/>
          <w:color w:val="auto"/>
          <w:sz w:val="21"/>
          <w:szCs w:val="21"/>
          <w:highlight w:val="none"/>
          <w:u w:val="single"/>
        </w:rPr>
      </w:pPr>
    </w:p>
    <w:p>
      <w:pPr>
        <w:rPr>
          <w:rFonts w:ascii="宋体" w:hAnsi="宋体" w:cs="宋体"/>
          <w:b/>
          <w:color w:val="auto"/>
          <w:sz w:val="21"/>
          <w:szCs w:val="21"/>
          <w:highlight w:val="none"/>
          <w:u w:val="single"/>
        </w:rPr>
      </w:pPr>
    </w:p>
    <w:p>
      <w:pPr>
        <w:jc w:val="center"/>
        <w:rPr>
          <w:rFonts w:ascii="宋体" w:hAnsi="宋体" w:cs="宋体"/>
          <w:b/>
          <w:color w:val="auto"/>
          <w:sz w:val="30"/>
          <w:szCs w:val="30"/>
          <w:highlight w:val="none"/>
        </w:rPr>
      </w:pPr>
      <w:r>
        <w:rPr>
          <w:rFonts w:hint="eastAsia" w:ascii="宋体" w:hAnsi="宋体" w:cs="宋体"/>
          <w:b/>
          <w:color w:val="auto"/>
          <w:sz w:val="30"/>
          <w:szCs w:val="30"/>
          <w:highlight w:val="none"/>
        </w:rPr>
        <w:t>20</w:t>
      </w:r>
      <w:r>
        <w:rPr>
          <w:rFonts w:ascii="宋体" w:hAnsi="宋体" w:cs="宋体"/>
          <w:b/>
          <w:color w:val="auto"/>
          <w:sz w:val="30"/>
          <w:szCs w:val="30"/>
          <w:highlight w:val="none"/>
        </w:rPr>
        <w:t>22</w:t>
      </w:r>
      <w:r>
        <w:rPr>
          <w:rFonts w:hint="eastAsia" w:ascii="宋体" w:hAnsi="宋体" w:cs="宋体"/>
          <w:b/>
          <w:color w:val="auto"/>
          <w:sz w:val="30"/>
          <w:szCs w:val="30"/>
          <w:highlight w:val="none"/>
        </w:rPr>
        <w:t>.</w:t>
      </w:r>
      <w:r>
        <w:rPr>
          <w:rFonts w:ascii="宋体" w:hAnsi="宋体" w:cs="宋体"/>
          <w:b/>
          <w:color w:val="auto"/>
          <w:sz w:val="30"/>
          <w:szCs w:val="30"/>
          <w:highlight w:val="none"/>
        </w:rPr>
        <w:t>05</w:t>
      </w:r>
    </w:p>
    <w:p>
      <w:pPr>
        <w:jc w:val="center"/>
        <w:rPr>
          <w:rFonts w:ascii="宋体" w:hAnsi="宋体" w:cs="宋体"/>
          <w:b/>
          <w:color w:val="auto"/>
          <w:sz w:val="21"/>
          <w:szCs w:val="21"/>
          <w:highlight w:val="none"/>
          <w:u w:val="single"/>
        </w:rPr>
      </w:pPr>
    </w:p>
    <w:bookmarkEnd w:id="0"/>
    <w:p>
      <w:pPr>
        <w:ind w:firstLine="562" w:firstLineChars="200"/>
        <w:jc w:val="center"/>
        <w:outlineLvl w:val="0"/>
        <w:rPr>
          <w:rFonts w:ascii="宋体" w:hAnsi="宋体" w:cs="宋体"/>
          <w:b/>
          <w:color w:val="auto"/>
          <w:sz w:val="28"/>
          <w:szCs w:val="21"/>
          <w:highlight w:val="none"/>
        </w:rPr>
      </w:pPr>
      <w:r>
        <w:rPr>
          <w:rFonts w:ascii="宋体" w:hAnsi="宋体" w:cs="宋体"/>
          <w:b/>
          <w:color w:val="auto"/>
          <w:sz w:val="28"/>
          <w:szCs w:val="21"/>
          <w:highlight w:val="none"/>
        </w:rPr>
        <w:br w:type="page"/>
      </w:r>
      <w:bookmarkStart w:id="14" w:name="_Toc91247567"/>
      <w:r>
        <w:rPr>
          <w:rFonts w:hint="eastAsia" w:ascii="宋体" w:hAnsi="宋体" w:cs="宋体"/>
          <w:b/>
          <w:color w:val="auto"/>
          <w:sz w:val="28"/>
          <w:szCs w:val="21"/>
          <w:highlight w:val="none"/>
        </w:rPr>
        <w:t>目录</w:t>
      </w:r>
      <w:bookmarkEnd w:id="14"/>
    </w:p>
    <w:p>
      <w:pPr>
        <w:pStyle w:val="25"/>
        <w:tabs>
          <w:tab w:val="right" w:leader="dot" w:pos="8303"/>
        </w:tabs>
        <w:rPr>
          <w:rFonts w:ascii="等线" w:hAnsi="等线" w:eastAsia="等线"/>
          <w:color w:val="auto"/>
          <w:sz w:val="21"/>
          <w:szCs w:val="22"/>
          <w:highlight w:val="non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TOC \o "1-2" \h \u </w:instrText>
      </w:r>
      <w:r>
        <w:rPr>
          <w:rFonts w:hint="eastAsia" w:ascii="宋体" w:hAnsi="宋体" w:cs="宋体"/>
          <w:color w:val="auto"/>
          <w:sz w:val="21"/>
          <w:szCs w:val="21"/>
          <w:highlight w:val="none"/>
        </w:rPr>
        <w:fldChar w:fldCharType="separate"/>
      </w:r>
      <w:r>
        <w:rPr>
          <w:color w:val="auto"/>
          <w:highlight w:val="none"/>
        </w:rPr>
        <w:fldChar w:fldCharType="begin"/>
      </w:r>
      <w:r>
        <w:rPr>
          <w:color w:val="auto"/>
          <w:highlight w:val="none"/>
        </w:rPr>
        <w:instrText xml:space="preserve"> HYPERLINK \l "_Toc91247567" </w:instrText>
      </w:r>
      <w:r>
        <w:rPr>
          <w:color w:val="auto"/>
          <w:highlight w:val="none"/>
        </w:rPr>
        <w:fldChar w:fldCharType="separate"/>
      </w:r>
      <w:r>
        <w:rPr>
          <w:rStyle w:val="39"/>
          <w:rFonts w:ascii="宋体" w:hAnsi="宋体" w:cs="宋体"/>
          <w:b/>
          <w:color w:val="auto"/>
          <w:highlight w:val="none"/>
        </w:rPr>
        <w:t>目录</w:t>
      </w:r>
      <w:r>
        <w:rPr>
          <w:color w:val="auto"/>
          <w:highlight w:val="none"/>
        </w:rPr>
        <w:tab/>
      </w:r>
      <w:r>
        <w:rPr>
          <w:color w:val="auto"/>
          <w:highlight w:val="none"/>
        </w:rPr>
        <w:fldChar w:fldCharType="begin"/>
      </w:r>
      <w:r>
        <w:rPr>
          <w:color w:val="auto"/>
          <w:highlight w:val="none"/>
        </w:rPr>
        <w:instrText xml:space="preserve"> PAGEREF _Toc91247567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25"/>
        <w:tabs>
          <w:tab w:val="right" w:leader="dot" w:pos="8303"/>
        </w:tabs>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"_Toc91247568" </w:instrText>
      </w:r>
      <w:r>
        <w:rPr>
          <w:color w:val="auto"/>
          <w:highlight w:val="none"/>
        </w:rPr>
        <w:fldChar w:fldCharType="separate"/>
      </w:r>
      <w:r>
        <w:rPr>
          <w:rStyle w:val="39"/>
          <w:rFonts w:cs="宋体"/>
          <w:color w:val="auto"/>
          <w:highlight w:val="none"/>
        </w:rPr>
        <w:t>第一章 总则</w:t>
      </w:r>
      <w:r>
        <w:rPr>
          <w:color w:val="auto"/>
          <w:highlight w:val="none"/>
        </w:rPr>
        <w:tab/>
      </w:r>
      <w:r>
        <w:rPr>
          <w:color w:val="auto"/>
          <w:highlight w:val="none"/>
        </w:rPr>
        <w:fldChar w:fldCharType="begin"/>
      </w:r>
      <w:r>
        <w:rPr>
          <w:color w:val="auto"/>
          <w:highlight w:val="none"/>
        </w:rPr>
        <w:instrText xml:space="preserve"> PAGEREF _Toc91247568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"_Toc91247569" </w:instrText>
      </w:r>
      <w:r>
        <w:rPr>
          <w:color w:val="auto"/>
          <w:highlight w:val="none"/>
        </w:rPr>
        <w:fldChar w:fldCharType="separate"/>
      </w:r>
      <w:r>
        <w:rPr>
          <w:rStyle w:val="39"/>
          <w:color w:val="auto"/>
          <w:highlight w:val="none"/>
        </w:rPr>
        <w:t>1 主要设备需求表</w:t>
      </w:r>
      <w:r>
        <w:rPr>
          <w:color w:val="auto"/>
          <w:highlight w:val="none"/>
        </w:rPr>
        <w:tab/>
      </w:r>
      <w:r>
        <w:rPr>
          <w:color w:val="auto"/>
          <w:highlight w:val="none"/>
        </w:rPr>
        <w:fldChar w:fldCharType="begin"/>
      </w:r>
      <w:r>
        <w:rPr>
          <w:color w:val="auto"/>
          <w:highlight w:val="none"/>
        </w:rPr>
        <w:instrText xml:space="preserve"> PAGEREF _Toc91247569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"_Toc91247570" </w:instrText>
      </w:r>
      <w:r>
        <w:rPr>
          <w:color w:val="auto"/>
          <w:highlight w:val="none"/>
        </w:rPr>
        <w:fldChar w:fldCharType="separate"/>
      </w:r>
      <w:r>
        <w:rPr>
          <w:rStyle w:val="39"/>
          <w:rFonts w:cs="宋体"/>
          <w:color w:val="auto"/>
          <w:highlight w:val="none"/>
        </w:rPr>
        <w:t>2 一般规定</w:t>
      </w:r>
      <w:r>
        <w:rPr>
          <w:color w:val="auto"/>
          <w:highlight w:val="none"/>
        </w:rPr>
        <w:tab/>
      </w:r>
      <w:r>
        <w:rPr>
          <w:color w:val="auto"/>
          <w:highlight w:val="none"/>
        </w:rPr>
        <w:fldChar w:fldCharType="begin"/>
      </w:r>
      <w:r>
        <w:rPr>
          <w:color w:val="auto"/>
          <w:highlight w:val="none"/>
        </w:rPr>
        <w:instrText xml:space="preserve"> PAGEREF _Toc91247570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"_Toc91247571" </w:instrText>
      </w:r>
      <w:r>
        <w:rPr>
          <w:color w:val="auto"/>
          <w:highlight w:val="none"/>
        </w:rPr>
        <w:fldChar w:fldCharType="separate"/>
      </w:r>
      <w:r>
        <w:rPr>
          <w:rStyle w:val="39"/>
          <w:rFonts w:cs="宋体"/>
          <w:color w:val="auto"/>
          <w:highlight w:val="none"/>
        </w:rPr>
        <w:t>3 工作范围和进度要求</w:t>
      </w:r>
      <w:r>
        <w:rPr>
          <w:color w:val="auto"/>
          <w:highlight w:val="none"/>
        </w:rPr>
        <w:tab/>
      </w:r>
      <w:r>
        <w:rPr>
          <w:color w:val="auto"/>
          <w:highlight w:val="none"/>
        </w:rPr>
        <w:fldChar w:fldCharType="begin"/>
      </w:r>
      <w:r>
        <w:rPr>
          <w:color w:val="auto"/>
          <w:highlight w:val="none"/>
        </w:rPr>
        <w:instrText xml:space="preserve"> PAGEREF _Toc91247571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"_Toc91247572" </w:instrText>
      </w:r>
      <w:r>
        <w:rPr>
          <w:color w:val="auto"/>
          <w:highlight w:val="none"/>
        </w:rPr>
        <w:fldChar w:fldCharType="separate"/>
      </w:r>
      <w:r>
        <w:rPr>
          <w:rStyle w:val="39"/>
          <w:rFonts w:cs="宋体"/>
          <w:color w:val="auto"/>
          <w:highlight w:val="none"/>
        </w:rPr>
        <w:t>4 对设计图纸、说明书和试验报告的要求</w:t>
      </w:r>
      <w:r>
        <w:rPr>
          <w:color w:val="auto"/>
          <w:highlight w:val="none"/>
        </w:rPr>
        <w:tab/>
      </w:r>
      <w:r>
        <w:rPr>
          <w:color w:val="auto"/>
          <w:highlight w:val="none"/>
        </w:rPr>
        <w:fldChar w:fldCharType="begin"/>
      </w:r>
      <w:r>
        <w:rPr>
          <w:color w:val="auto"/>
          <w:highlight w:val="none"/>
        </w:rPr>
        <w:instrText xml:space="preserve"> PAGEREF _Toc91247572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"_Toc91247573" </w:instrText>
      </w:r>
      <w:r>
        <w:rPr>
          <w:color w:val="auto"/>
          <w:highlight w:val="none"/>
        </w:rPr>
        <w:fldChar w:fldCharType="separate"/>
      </w:r>
      <w:r>
        <w:rPr>
          <w:rStyle w:val="39"/>
          <w:rFonts w:cs="宋体"/>
          <w:color w:val="auto"/>
          <w:highlight w:val="none"/>
        </w:rPr>
        <w:t>5 备品备件</w:t>
      </w:r>
      <w:r>
        <w:rPr>
          <w:color w:val="auto"/>
          <w:highlight w:val="none"/>
        </w:rPr>
        <w:tab/>
      </w:r>
      <w:r>
        <w:rPr>
          <w:color w:val="auto"/>
          <w:highlight w:val="none"/>
        </w:rPr>
        <w:fldChar w:fldCharType="begin"/>
      </w:r>
      <w:r>
        <w:rPr>
          <w:color w:val="auto"/>
          <w:highlight w:val="none"/>
        </w:rPr>
        <w:instrText xml:space="preserve"> PAGEREF _Toc91247573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"_Toc91247574" </w:instrText>
      </w:r>
      <w:r>
        <w:rPr>
          <w:color w:val="auto"/>
          <w:highlight w:val="none"/>
        </w:rPr>
        <w:fldChar w:fldCharType="separate"/>
      </w:r>
      <w:r>
        <w:rPr>
          <w:rStyle w:val="39"/>
          <w:rFonts w:cs="宋体"/>
          <w:color w:val="auto"/>
          <w:highlight w:val="none"/>
        </w:rPr>
        <w:t>6 专用工具与仪器仪表</w:t>
      </w:r>
      <w:r>
        <w:rPr>
          <w:color w:val="auto"/>
          <w:highlight w:val="none"/>
        </w:rPr>
        <w:tab/>
      </w:r>
      <w:r>
        <w:rPr>
          <w:color w:val="auto"/>
          <w:highlight w:val="none"/>
        </w:rPr>
        <w:fldChar w:fldCharType="begin"/>
      </w:r>
      <w:r>
        <w:rPr>
          <w:color w:val="auto"/>
          <w:highlight w:val="none"/>
        </w:rPr>
        <w:instrText xml:space="preserve"> PAGEREF _Toc91247574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"_Toc91247575" </w:instrText>
      </w:r>
      <w:r>
        <w:rPr>
          <w:color w:val="auto"/>
          <w:highlight w:val="none"/>
        </w:rPr>
        <w:fldChar w:fldCharType="separate"/>
      </w:r>
      <w:r>
        <w:rPr>
          <w:rStyle w:val="39"/>
          <w:rFonts w:cs="宋体"/>
          <w:color w:val="auto"/>
          <w:highlight w:val="none"/>
        </w:rPr>
        <w:t>7 安装、调试、性能试验、试运行和验收</w:t>
      </w:r>
      <w:r>
        <w:rPr>
          <w:color w:val="auto"/>
          <w:highlight w:val="none"/>
        </w:rPr>
        <w:tab/>
      </w:r>
      <w:r>
        <w:rPr>
          <w:color w:val="auto"/>
          <w:highlight w:val="none"/>
        </w:rPr>
        <w:fldChar w:fldCharType="begin"/>
      </w:r>
      <w:r>
        <w:rPr>
          <w:color w:val="auto"/>
          <w:highlight w:val="none"/>
        </w:rPr>
        <w:instrText xml:space="preserve"> PAGEREF _Toc91247575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"_Toc91247576" </w:instrText>
      </w:r>
      <w:r>
        <w:rPr>
          <w:color w:val="auto"/>
          <w:highlight w:val="none"/>
        </w:rPr>
        <w:fldChar w:fldCharType="separate"/>
      </w:r>
      <w:r>
        <w:rPr>
          <w:rStyle w:val="39"/>
          <w:rFonts w:cs="宋体"/>
          <w:color w:val="auto"/>
          <w:highlight w:val="none"/>
        </w:rPr>
        <w:t>8 标准和规范</w:t>
      </w:r>
      <w:r>
        <w:rPr>
          <w:color w:val="auto"/>
          <w:highlight w:val="none"/>
        </w:rPr>
        <w:tab/>
      </w:r>
      <w:r>
        <w:rPr>
          <w:color w:val="auto"/>
          <w:highlight w:val="none"/>
        </w:rPr>
        <w:fldChar w:fldCharType="begin"/>
      </w:r>
      <w:r>
        <w:rPr>
          <w:color w:val="auto"/>
          <w:highlight w:val="none"/>
        </w:rPr>
        <w:instrText xml:space="preserve"> PAGEREF _Toc91247576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"_Toc91247577" </w:instrText>
      </w:r>
      <w:r>
        <w:rPr>
          <w:color w:val="auto"/>
          <w:highlight w:val="none"/>
        </w:rPr>
        <w:fldChar w:fldCharType="separate"/>
      </w:r>
      <w:r>
        <w:rPr>
          <w:rStyle w:val="39"/>
          <w:rFonts w:ascii="宋体" w:hAnsi="宋体" w:cs="宋体"/>
          <w:b/>
          <w:color w:val="auto"/>
          <w:kern w:val="44"/>
          <w:highlight w:val="none"/>
        </w:rPr>
        <w:t>9 包装、运输</w:t>
      </w:r>
      <w:r>
        <w:rPr>
          <w:color w:val="auto"/>
          <w:highlight w:val="none"/>
        </w:rPr>
        <w:tab/>
      </w:r>
      <w:r>
        <w:rPr>
          <w:color w:val="auto"/>
          <w:highlight w:val="none"/>
        </w:rPr>
        <w:fldChar w:fldCharType="begin"/>
      </w:r>
      <w:r>
        <w:rPr>
          <w:color w:val="auto"/>
          <w:highlight w:val="none"/>
        </w:rPr>
        <w:instrText xml:space="preserve"> PAGEREF _Toc91247577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25"/>
        <w:tabs>
          <w:tab w:val="right" w:leader="dot" w:pos="8303"/>
        </w:tabs>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"_Toc91247578" </w:instrText>
      </w:r>
      <w:r>
        <w:rPr>
          <w:color w:val="auto"/>
          <w:highlight w:val="none"/>
        </w:rPr>
        <w:fldChar w:fldCharType="separate"/>
      </w:r>
      <w:r>
        <w:rPr>
          <w:rStyle w:val="39"/>
          <w:rFonts w:cs="宋体"/>
          <w:color w:val="auto"/>
          <w:highlight w:val="none"/>
        </w:rPr>
        <w:t>第二章 工程概况</w:t>
      </w:r>
      <w:r>
        <w:rPr>
          <w:color w:val="auto"/>
          <w:highlight w:val="none"/>
        </w:rPr>
        <w:tab/>
      </w:r>
      <w:r>
        <w:rPr>
          <w:color w:val="auto"/>
          <w:highlight w:val="none"/>
        </w:rPr>
        <w:fldChar w:fldCharType="begin"/>
      </w:r>
      <w:r>
        <w:rPr>
          <w:color w:val="auto"/>
          <w:highlight w:val="none"/>
        </w:rPr>
        <w:instrText xml:space="preserve"> PAGEREF _Toc91247578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"_Toc91247579" </w:instrText>
      </w:r>
      <w:r>
        <w:rPr>
          <w:color w:val="auto"/>
          <w:highlight w:val="none"/>
        </w:rPr>
        <w:fldChar w:fldCharType="separate"/>
      </w:r>
      <w:r>
        <w:rPr>
          <w:rStyle w:val="39"/>
          <w:color w:val="auto"/>
          <w:highlight w:val="none"/>
        </w:rPr>
        <w:t>1 项目概况</w:t>
      </w:r>
      <w:r>
        <w:rPr>
          <w:color w:val="auto"/>
          <w:highlight w:val="none"/>
        </w:rPr>
        <w:tab/>
      </w:r>
      <w:r>
        <w:rPr>
          <w:color w:val="auto"/>
          <w:highlight w:val="none"/>
        </w:rPr>
        <w:fldChar w:fldCharType="begin"/>
      </w:r>
      <w:r>
        <w:rPr>
          <w:color w:val="auto"/>
          <w:highlight w:val="none"/>
        </w:rPr>
        <w:instrText xml:space="preserve"> PAGEREF _Toc91247579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"_Toc91247580" </w:instrText>
      </w:r>
      <w:r>
        <w:rPr>
          <w:color w:val="auto"/>
          <w:highlight w:val="none"/>
        </w:rPr>
        <w:fldChar w:fldCharType="separate"/>
      </w:r>
      <w:r>
        <w:rPr>
          <w:rStyle w:val="39"/>
          <w:color w:val="auto"/>
          <w:highlight w:val="none"/>
        </w:rPr>
        <w:t>2 环境条件</w:t>
      </w:r>
      <w:r>
        <w:rPr>
          <w:color w:val="auto"/>
          <w:highlight w:val="none"/>
        </w:rPr>
        <w:tab/>
      </w:r>
      <w:r>
        <w:rPr>
          <w:color w:val="auto"/>
          <w:highlight w:val="none"/>
        </w:rPr>
        <w:fldChar w:fldCharType="begin"/>
      </w:r>
      <w:r>
        <w:rPr>
          <w:color w:val="auto"/>
          <w:highlight w:val="none"/>
        </w:rPr>
        <w:instrText xml:space="preserve"> PAGEREF _Toc91247580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"_Toc91247581" </w:instrText>
      </w:r>
      <w:r>
        <w:rPr>
          <w:color w:val="auto"/>
          <w:highlight w:val="none"/>
        </w:rPr>
        <w:fldChar w:fldCharType="separate"/>
      </w:r>
      <w:r>
        <w:rPr>
          <w:rStyle w:val="39"/>
          <w:color w:val="auto"/>
          <w:highlight w:val="none"/>
        </w:rPr>
        <w:t>3 系统条件</w:t>
      </w:r>
      <w:r>
        <w:rPr>
          <w:color w:val="auto"/>
          <w:highlight w:val="none"/>
        </w:rPr>
        <w:tab/>
      </w:r>
      <w:r>
        <w:rPr>
          <w:color w:val="auto"/>
          <w:highlight w:val="none"/>
        </w:rPr>
        <w:fldChar w:fldCharType="begin"/>
      </w:r>
      <w:r>
        <w:rPr>
          <w:color w:val="auto"/>
          <w:highlight w:val="none"/>
        </w:rPr>
        <w:instrText xml:space="preserve"> PAGEREF _Toc91247581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5"/>
        <w:tabs>
          <w:tab w:val="right" w:leader="dot" w:pos="8303"/>
        </w:tabs>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"_Toc91247582" </w:instrText>
      </w:r>
      <w:r>
        <w:rPr>
          <w:color w:val="auto"/>
          <w:highlight w:val="none"/>
        </w:rPr>
        <w:fldChar w:fldCharType="separate"/>
      </w:r>
      <w:r>
        <w:rPr>
          <w:rStyle w:val="39"/>
          <w:rFonts w:cs="宋体"/>
          <w:color w:val="auto"/>
          <w:highlight w:val="none"/>
        </w:rPr>
        <w:t>第三章 技术要求</w:t>
      </w:r>
      <w:r>
        <w:rPr>
          <w:color w:val="auto"/>
          <w:highlight w:val="none"/>
        </w:rPr>
        <w:tab/>
      </w:r>
      <w:r>
        <w:rPr>
          <w:color w:val="auto"/>
          <w:highlight w:val="none"/>
        </w:rPr>
        <w:fldChar w:fldCharType="begin"/>
      </w:r>
      <w:r>
        <w:rPr>
          <w:color w:val="auto"/>
          <w:highlight w:val="none"/>
        </w:rPr>
        <w:instrText xml:space="preserve"> PAGEREF _Toc91247582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"_Toc91247583" </w:instrText>
      </w:r>
      <w:r>
        <w:rPr>
          <w:color w:val="auto"/>
          <w:highlight w:val="none"/>
        </w:rPr>
        <w:fldChar w:fldCharType="separate"/>
      </w:r>
      <w:r>
        <w:rPr>
          <w:rStyle w:val="39"/>
          <w:color w:val="auto"/>
          <w:highlight w:val="none"/>
        </w:rPr>
        <w:t>1 技术要求</w:t>
      </w:r>
      <w:r>
        <w:rPr>
          <w:color w:val="auto"/>
          <w:highlight w:val="none"/>
        </w:rPr>
        <w:tab/>
      </w:r>
      <w:r>
        <w:rPr>
          <w:color w:val="auto"/>
          <w:highlight w:val="none"/>
        </w:rPr>
        <w:fldChar w:fldCharType="begin"/>
      </w:r>
      <w:r>
        <w:rPr>
          <w:color w:val="auto"/>
          <w:highlight w:val="none"/>
        </w:rPr>
        <w:instrText xml:space="preserve"> PAGEREF _Toc91247583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"_Toc91247584" </w:instrText>
      </w:r>
      <w:r>
        <w:rPr>
          <w:color w:val="auto"/>
          <w:highlight w:val="none"/>
        </w:rPr>
        <w:fldChar w:fldCharType="separate"/>
      </w:r>
      <w:r>
        <w:rPr>
          <w:rStyle w:val="39"/>
          <w:rFonts w:ascii="宋体" w:hAnsi="宋体"/>
          <w:color w:val="auto"/>
          <w:kern w:val="0"/>
          <w:highlight w:val="none"/>
        </w:rPr>
        <w:t>2 其它要求</w:t>
      </w:r>
      <w:r>
        <w:rPr>
          <w:color w:val="auto"/>
          <w:highlight w:val="none"/>
        </w:rPr>
        <w:tab/>
      </w:r>
      <w:r>
        <w:rPr>
          <w:color w:val="auto"/>
          <w:highlight w:val="none"/>
        </w:rPr>
        <w:fldChar w:fldCharType="begin"/>
      </w:r>
      <w:r>
        <w:rPr>
          <w:color w:val="auto"/>
          <w:highlight w:val="none"/>
        </w:rPr>
        <w:instrText xml:space="preserve"> PAGEREF _Toc91247584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5"/>
        <w:tabs>
          <w:tab w:val="right" w:leader="dot" w:pos="8303"/>
        </w:tabs>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"_Toc91247585" </w:instrText>
      </w:r>
      <w:r>
        <w:rPr>
          <w:color w:val="auto"/>
          <w:highlight w:val="none"/>
        </w:rPr>
        <w:fldChar w:fldCharType="separate"/>
      </w:r>
      <w:r>
        <w:rPr>
          <w:rStyle w:val="39"/>
          <w:rFonts w:cs="宋体"/>
          <w:color w:val="auto"/>
          <w:highlight w:val="none"/>
        </w:rPr>
        <w:t>第四章 技术参数响应表</w:t>
      </w:r>
      <w:r>
        <w:rPr>
          <w:color w:val="auto"/>
          <w:highlight w:val="none"/>
        </w:rPr>
        <w:tab/>
      </w:r>
      <w:r>
        <w:rPr>
          <w:color w:val="auto"/>
          <w:highlight w:val="none"/>
        </w:rPr>
        <w:fldChar w:fldCharType="begin"/>
      </w:r>
      <w:r>
        <w:rPr>
          <w:color w:val="auto"/>
          <w:highlight w:val="none"/>
        </w:rPr>
        <w:instrText xml:space="preserve"> PAGEREF _Toc91247585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5"/>
        <w:tabs>
          <w:tab w:val="right" w:leader="dot" w:pos="8303"/>
        </w:tabs>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"_Toc91247586" </w:instrText>
      </w:r>
      <w:r>
        <w:rPr>
          <w:color w:val="auto"/>
          <w:highlight w:val="none"/>
        </w:rPr>
        <w:fldChar w:fldCharType="separate"/>
      </w:r>
      <w:r>
        <w:rPr>
          <w:rStyle w:val="39"/>
          <w:rFonts w:cs="宋体"/>
          <w:color w:val="auto"/>
          <w:highlight w:val="none"/>
        </w:rPr>
        <w:t>第五章 技术差异表</w:t>
      </w:r>
      <w:r>
        <w:rPr>
          <w:color w:val="auto"/>
          <w:highlight w:val="none"/>
        </w:rPr>
        <w:tab/>
      </w:r>
      <w:r>
        <w:rPr>
          <w:color w:val="auto"/>
          <w:highlight w:val="none"/>
        </w:rPr>
        <w:fldChar w:fldCharType="begin"/>
      </w:r>
      <w:r>
        <w:rPr>
          <w:color w:val="auto"/>
          <w:highlight w:val="none"/>
        </w:rPr>
        <w:instrText xml:space="preserve"> PAGEREF _Toc91247586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5"/>
        <w:tabs>
          <w:tab w:val="right" w:leader="dot" w:pos="8303"/>
        </w:tabs>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"_Toc91247587" </w:instrText>
      </w:r>
      <w:r>
        <w:rPr>
          <w:color w:val="auto"/>
          <w:highlight w:val="none"/>
        </w:rPr>
        <w:fldChar w:fldCharType="separate"/>
      </w:r>
      <w:r>
        <w:rPr>
          <w:rStyle w:val="39"/>
          <w:rFonts w:cs="宋体"/>
          <w:color w:val="auto"/>
          <w:highlight w:val="none"/>
        </w:rPr>
        <w:t>第六章 供货范围</w:t>
      </w:r>
      <w:r>
        <w:rPr>
          <w:color w:val="auto"/>
          <w:highlight w:val="none"/>
        </w:rPr>
        <w:tab/>
      </w:r>
      <w:r>
        <w:rPr>
          <w:color w:val="auto"/>
          <w:highlight w:val="none"/>
        </w:rPr>
        <w:fldChar w:fldCharType="begin"/>
      </w:r>
      <w:r>
        <w:rPr>
          <w:color w:val="auto"/>
          <w:highlight w:val="none"/>
        </w:rPr>
        <w:instrText xml:space="preserve"> PAGEREF _Toc91247587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"_Toc91247588" </w:instrText>
      </w:r>
      <w:r>
        <w:rPr>
          <w:color w:val="auto"/>
          <w:highlight w:val="none"/>
        </w:rPr>
        <w:fldChar w:fldCharType="separate"/>
      </w:r>
      <w:r>
        <w:rPr>
          <w:rStyle w:val="39"/>
          <w:rFonts w:ascii="宋体" w:hAnsi="宋体"/>
          <w:b/>
          <w:bCs/>
          <w:color w:val="auto"/>
          <w:kern w:val="0"/>
          <w:highlight w:val="none"/>
        </w:rPr>
        <w:t>1 一般要求</w:t>
      </w:r>
      <w:r>
        <w:rPr>
          <w:color w:val="auto"/>
          <w:highlight w:val="none"/>
        </w:rPr>
        <w:tab/>
      </w:r>
      <w:r>
        <w:rPr>
          <w:color w:val="auto"/>
          <w:highlight w:val="none"/>
        </w:rPr>
        <w:fldChar w:fldCharType="begin"/>
      </w:r>
      <w:r>
        <w:rPr>
          <w:color w:val="auto"/>
          <w:highlight w:val="none"/>
        </w:rPr>
        <w:instrText xml:space="preserve"> PAGEREF _Toc91247588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"_Toc91247589" </w:instrText>
      </w:r>
      <w:r>
        <w:rPr>
          <w:color w:val="auto"/>
          <w:highlight w:val="none"/>
        </w:rPr>
        <w:fldChar w:fldCharType="separate"/>
      </w:r>
      <w:r>
        <w:rPr>
          <w:rStyle w:val="39"/>
          <w:rFonts w:ascii="宋体" w:hAnsi="宋体"/>
          <w:b/>
          <w:bCs/>
          <w:color w:val="auto"/>
          <w:kern w:val="0"/>
          <w:highlight w:val="none"/>
        </w:rPr>
        <w:t>2 工作范围</w:t>
      </w:r>
      <w:r>
        <w:rPr>
          <w:color w:val="auto"/>
          <w:highlight w:val="none"/>
        </w:rPr>
        <w:tab/>
      </w:r>
      <w:r>
        <w:rPr>
          <w:color w:val="auto"/>
          <w:highlight w:val="none"/>
        </w:rPr>
        <w:fldChar w:fldCharType="begin"/>
      </w:r>
      <w:r>
        <w:rPr>
          <w:color w:val="auto"/>
          <w:highlight w:val="none"/>
        </w:rPr>
        <w:instrText xml:space="preserve"> PAGEREF _Toc91247589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"_Toc91247590" </w:instrText>
      </w:r>
      <w:r>
        <w:rPr>
          <w:color w:val="auto"/>
          <w:highlight w:val="none"/>
        </w:rPr>
        <w:fldChar w:fldCharType="separate"/>
      </w:r>
      <w:r>
        <w:rPr>
          <w:rStyle w:val="39"/>
          <w:rFonts w:ascii="宋体" w:hAnsi="宋体"/>
          <w:b/>
          <w:bCs/>
          <w:color w:val="auto"/>
          <w:kern w:val="0"/>
          <w:highlight w:val="none"/>
        </w:rPr>
        <w:t>3 供货范围</w:t>
      </w:r>
      <w:r>
        <w:rPr>
          <w:color w:val="auto"/>
          <w:highlight w:val="none"/>
        </w:rPr>
        <w:tab/>
      </w:r>
      <w:r>
        <w:rPr>
          <w:color w:val="auto"/>
          <w:highlight w:val="none"/>
        </w:rPr>
        <w:fldChar w:fldCharType="begin"/>
      </w:r>
      <w:r>
        <w:rPr>
          <w:color w:val="auto"/>
          <w:highlight w:val="none"/>
        </w:rPr>
        <w:instrText xml:space="preserve"> PAGEREF _Toc91247590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"_Toc91247591" </w:instrText>
      </w:r>
      <w:r>
        <w:rPr>
          <w:color w:val="auto"/>
          <w:highlight w:val="none"/>
        </w:rPr>
        <w:fldChar w:fldCharType="separate"/>
      </w:r>
      <w:r>
        <w:rPr>
          <w:rStyle w:val="39"/>
          <w:color w:val="auto"/>
          <w:highlight w:val="none"/>
        </w:rPr>
        <w:t>表1   供货范围清单：</w:t>
      </w:r>
      <w:r>
        <w:rPr>
          <w:color w:val="auto"/>
          <w:highlight w:val="none"/>
        </w:rPr>
        <w:tab/>
      </w:r>
      <w:r>
        <w:rPr>
          <w:color w:val="auto"/>
          <w:highlight w:val="none"/>
        </w:rPr>
        <w:fldChar w:fldCharType="begin"/>
      </w:r>
      <w:r>
        <w:rPr>
          <w:color w:val="auto"/>
          <w:highlight w:val="none"/>
        </w:rPr>
        <w:instrText xml:space="preserve"> PAGEREF _Toc91247591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"_Toc91247592" </w:instrText>
      </w:r>
      <w:r>
        <w:rPr>
          <w:color w:val="auto"/>
          <w:highlight w:val="none"/>
        </w:rPr>
        <w:fldChar w:fldCharType="separate"/>
      </w:r>
      <w:r>
        <w:rPr>
          <w:rStyle w:val="39"/>
          <w:color w:val="auto"/>
          <w:highlight w:val="none"/>
        </w:rPr>
        <w:t>表2   主要元器件分项表（单台逆变器）</w:t>
      </w:r>
      <w:r>
        <w:rPr>
          <w:color w:val="auto"/>
          <w:highlight w:val="none"/>
        </w:rPr>
        <w:tab/>
      </w:r>
      <w:r>
        <w:rPr>
          <w:color w:val="auto"/>
          <w:highlight w:val="none"/>
        </w:rPr>
        <w:fldChar w:fldCharType="begin"/>
      </w:r>
      <w:r>
        <w:rPr>
          <w:color w:val="auto"/>
          <w:highlight w:val="none"/>
        </w:rPr>
        <w:instrText xml:space="preserve"> PAGEREF _Toc91247592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"_Toc91247593" </w:instrText>
      </w:r>
      <w:r>
        <w:rPr>
          <w:color w:val="auto"/>
          <w:highlight w:val="none"/>
        </w:rPr>
        <w:fldChar w:fldCharType="separate"/>
      </w:r>
      <w:r>
        <w:rPr>
          <w:rStyle w:val="39"/>
          <w:color w:val="auto"/>
          <w:highlight w:val="none"/>
        </w:rPr>
        <w:t>附表2   主要外购元器件清单</w:t>
      </w:r>
      <w:r>
        <w:rPr>
          <w:color w:val="auto"/>
          <w:highlight w:val="none"/>
        </w:rPr>
        <w:tab/>
      </w:r>
      <w:r>
        <w:rPr>
          <w:color w:val="auto"/>
          <w:highlight w:val="none"/>
        </w:rPr>
        <w:fldChar w:fldCharType="begin"/>
      </w:r>
      <w:r>
        <w:rPr>
          <w:color w:val="auto"/>
          <w:highlight w:val="none"/>
        </w:rPr>
        <w:instrText xml:space="preserve"> PAGEREF _Toc91247593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"_Toc91247594" </w:instrText>
      </w:r>
      <w:r>
        <w:rPr>
          <w:color w:val="auto"/>
          <w:highlight w:val="none"/>
        </w:rPr>
        <w:fldChar w:fldCharType="separate"/>
      </w:r>
      <w:r>
        <w:rPr>
          <w:rStyle w:val="39"/>
          <w:color w:val="auto"/>
          <w:highlight w:val="none"/>
        </w:rPr>
        <w:t>附表3  必需的备品备件</w:t>
      </w:r>
      <w:r>
        <w:rPr>
          <w:color w:val="auto"/>
          <w:highlight w:val="none"/>
        </w:rPr>
        <w:tab/>
      </w:r>
      <w:r>
        <w:rPr>
          <w:color w:val="auto"/>
          <w:highlight w:val="none"/>
        </w:rPr>
        <w:fldChar w:fldCharType="begin"/>
      </w:r>
      <w:r>
        <w:rPr>
          <w:color w:val="auto"/>
          <w:highlight w:val="none"/>
        </w:rPr>
        <w:instrText xml:space="preserve"> PAGEREF _Toc91247594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"_Toc91247595" </w:instrText>
      </w:r>
      <w:r>
        <w:rPr>
          <w:color w:val="auto"/>
          <w:highlight w:val="none"/>
        </w:rPr>
        <w:fldChar w:fldCharType="separate"/>
      </w:r>
      <w:r>
        <w:rPr>
          <w:rStyle w:val="39"/>
          <w:color w:val="auto"/>
          <w:highlight w:val="none"/>
        </w:rPr>
        <w:t>附表4  必需的专用工器具及仪器仪表</w:t>
      </w:r>
      <w:r>
        <w:rPr>
          <w:color w:val="auto"/>
          <w:highlight w:val="none"/>
        </w:rPr>
        <w:tab/>
      </w:r>
      <w:r>
        <w:rPr>
          <w:color w:val="auto"/>
          <w:highlight w:val="none"/>
        </w:rPr>
        <w:fldChar w:fldCharType="begin"/>
      </w:r>
      <w:r>
        <w:rPr>
          <w:color w:val="auto"/>
          <w:highlight w:val="none"/>
        </w:rPr>
        <w:instrText xml:space="preserve"> PAGEREF _Toc91247595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"_Toc91247596" </w:instrText>
      </w:r>
      <w:r>
        <w:rPr>
          <w:color w:val="auto"/>
          <w:highlight w:val="none"/>
        </w:rPr>
        <w:fldChar w:fldCharType="separate"/>
      </w:r>
      <w:r>
        <w:rPr>
          <w:rStyle w:val="39"/>
          <w:color w:val="auto"/>
          <w:highlight w:val="none"/>
        </w:rPr>
        <w:t>附表5   推荐的专用工器具及仪器仪表</w:t>
      </w:r>
      <w:r>
        <w:rPr>
          <w:color w:val="auto"/>
          <w:highlight w:val="none"/>
        </w:rPr>
        <w:tab/>
      </w:r>
      <w:r>
        <w:rPr>
          <w:color w:val="auto"/>
          <w:highlight w:val="none"/>
        </w:rPr>
        <w:fldChar w:fldCharType="begin"/>
      </w:r>
      <w:r>
        <w:rPr>
          <w:color w:val="auto"/>
          <w:highlight w:val="none"/>
        </w:rPr>
        <w:instrText xml:space="preserve"> PAGEREF _Toc91247596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5"/>
        <w:tabs>
          <w:tab w:val="right" w:leader="dot" w:pos="8303"/>
        </w:tabs>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"_Toc91247597" </w:instrText>
      </w:r>
      <w:r>
        <w:rPr>
          <w:color w:val="auto"/>
          <w:highlight w:val="none"/>
        </w:rPr>
        <w:fldChar w:fldCharType="separate"/>
      </w:r>
      <w:r>
        <w:rPr>
          <w:rStyle w:val="39"/>
          <w:rFonts w:cs="宋体"/>
          <w:color w:val="auto"/>
          <w:highlight w:val="none"/>
        </w:rPr>
        <w:t>第七章 交货进度</w:t>
      </w:r>
      <w:r>
        <w:rPr>
          <w:color w:val="auto"/>
          <w:highlight w:val="none"/>
        </w:rPr>
        <w:tab/>
      </w:r>
      <w:r>
        <w:rPr>
          <w:color w:val="auto"/>
          <w:highlight w:val="none"/>
        </w:rPr>
        <w:fldChar w:fldCharType="begin"/>
      </w:r>
      <w:r>
        <w:rPr>
          <w:color w:val="auto"/>
          <w:highlight w:val="none"/>
        </w:rPr>
        <w:instrText xml:space="preserve"> PAGEREF _Toc91247597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25"/>
        <w:tabs>
          <w:tab w:val="right" w:leader="dot" w:pos="8303"/>
        </w:tabs>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"_Toc91247598" </w:instrText>
      </w:r>
      <w:r>
        <w:rPr>
          <w:color w:val="auto"/>
          <w:highlight w:val="none"/>
        </w:rPr>
        <w:fldChar w:fldCharType="separate"/>
      </w:r>
      <w:r>
        <w:rPr>
          <w:rStyle w:val="39"/>
          <w:rFonts w:cs="宋体"/>
          <w:color w:val="auto"/>
          <w:highlight w:val="none"/>
        </w:rPr>
        <w:t>第八章 性能验收试验</w:t>
      </w:r>
      <w:r>
        <w:rPr>
          <w:color w:val="auto"/>
          <w:highlight w:val="none"/>
        </w:rPr>
        <w:tab/>
      </w:r>
      <w:r>
        <w:rPr>
          <w:color w:val="auto"/>
          <w:highlight w:val="none"/>
        </w:rPr>
        <w:fldChar w:fldCharType="begin"/>
      </w:r>
      <w:r>
        <w:rPr>
          <w:color w:val="auto"/>
          <w:highlight w:val="none"/>
        </w:rPr>
        <w:instrText xml:space="preserve"> PAGEREF _Toc91247598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25"/>
        <w:tabs>
          <w:tab w:val="right" w:leader="dot" w:pos="8303"/>
        </w:tabs>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"_Toc91247599" </w:instrText>
      </w:r>
      <w:r>
        <w:rPr>
          <w:color w:val="auto"/>
          <w:highlight w:val="none"/>
        </w:rPr>
        <w:fldChar w:fldCharType="separate"/>
      </w:r>
      <w:r>
        <w:rPr>
          <w:rStyle w:val="39"/>
          <w:rFonts w:cs="宋体"/>
          <w:color w:val="auto"/>
          <w:highlight w:val="none"/>
        </w:rPr>
        <w:t>第九章 技术服务、设计联络</w:t>
      </w:r>
      <w:r>
        <w:rPr>
          <w:color w:val="auto"/>
          <w:highlight w:val="none"/>
        </w:rPr>
        <w:tab/>
      </w:r>
      <w:r>
        <w:rPr>
          <w:color w:val="auto"/>
          <w:highlight w:val="none"/>
        </w:rPr>
        <w:fldChar w:fldCharType="begin"/>
      </w:r>
      <w:r>
        <w:rPr>
          <w:color w:val="auto"/>
          <w:highlight w:val="none"/>
        </w:rPr>
        <w:instrText xml:space="preserve"> PAGEREF _Toc91247599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"_Toc91247600" </w:instrText>
      </w:r>
      <w:r>
        <w:rPr>
          <w:color w:val="auto"/>
          <w:highlight w:val="none"/>
        </w:rPr>
        <w:fldChar w:fldCharType="separate"/>
      </w:r>
      <w:r>
        <w:rPr>
          <w:rStyle w:val="39"/>
          <w:rFonts w:cs="宋体"/>
          <w:color w:val="auto"/>
          <w:highlight w:val="none"/>
        </w:rPr>
        <w:t>1 技术服务</w:t>
      </w:r>
      <w:r>
        <w:rPr>
          <w:color w:val="auto"/>
          <w:highlight w:val="none"/>
        </w:rPr>
        <w:tab/>
      </w:r>
      <w:r>
        <w:rPr>
          <w:color w:val="auto"/>
          <w:highlight w:val="none"/>
        </w:rPr>
        <w:fldChar w:fldCharType="begin"/>
      </w:r>
      <w:r>
        <w:rPr>
          <w:color w:val="auto"/>
          <w:highlight w:val="none"/>
        </w:rPr>
        <w:instrText xml:space="preserve"> PAGEREF _Toc91247600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"_Toc91247601" </w:instrText>
      </w:r>
      <w:r>
        <w:rPr>
          <w:color w:val="auto"/>
          <w:highlight w:val="none"/>
        </w:rPr>
        <w:fldChar w:fldCharType="separate"/>
      </w:r>
      <w:r>
        <w:rPr>
          <w:rStyle w:val="39"/>
          <w:rFonts w:cs="宋体"/>
          <w:color w:val="auto"/>
          <w:highlight w:val="none"/>
        </w:rPr>
        <w:t>2 培训</w:t>
      </w:r>
      <w:r>
        <w:rPr>
          <w:color w:val="auto"/>
          <w:highlight w:val="none"/>
        </w:rPr>
        <w:tab/>
      </w:r>
      <w:r>
        <w:rPr>
          <w:color w:val="auto"/>
          <w:highlight w:val="none"/>
        </w:rPr>
        <w:fldChar w:fldCharType="begin"/>
      </w:r>
      <w:r>
        <w:rPr>
          <w:color w:val="auto"/>
          <w:highlight w:val="none"/>
        </w:rPr>
        <w:instrText xml:space="preserve"> PAGEREF _Toc91247601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"_Toc91247602" </w:instrText>
      </w:r>
      <w:r>
        <w:rPr>
          <w:color w:val="auto"/>
          <w:highlight w:val="none"/>
        </w:rPr>
        <w:fldChar w:fldCharType="separate"/>
      </w:r>
      <w:r>
        <w:rPr>
          <w:rStyle w:val="39"/>
          <w:rFonts w:cs="宋体"/>
          <w:color w:val="auto"/>
          <w:highlight w:val="none"/>
        </w:rPr>
        <w:t>3 设计联络会</w:t>
      </w:r>
      <w:r>
        <w:rPr>
          <w:color w:val="auto"/>
          <w:highlight w:val="none"/>
        </w:rPr>
        <w:tab/>
      </w:r>
      <w:r>
        <w:rPr>
          <w:color w:val="auto"/>
          <w:highlight w:val="none"/>
        </w:rPr>
        <w:fldChar w:fldCharType="begin"/>
      </w:r>
      <w:r>
        <w:rPr>
          <w:color w:val="auto"/>
          <w:highlight w:val="none"/>
        </w:rPr>
        <w:instrText xml:space="preserve"> PAGEREF _Toc91247602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25"/>
        <w:tabs>
          <w:tab w:val="right" w:leader="dot" w:pos="8303"/>
        </w:tabs>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"_Toc91247603" </w:instrText>
      </w:r>
      <w:r>
        <w:rPr>
          <w:color w:val="auto"/>
          <w:highlight w:val="none"/>
        </w:rPr>
        <w:fldChar w:fldCharType="separate"/>
      </w:r>
      <w:r>
        <w:rPr>
          <w:rStyle w:val="39"/>
          <w:rFonts w:cs="宋体"/>
          <w:color w:val="auto"/>
          <w:highlight w:val="none"/>
        </w:rPr>
        <w:t>第十章 工厂检验和监造</w:t>
      </w:r>
      <w:r>
        <w:rPr>
          <w:color w:val="auto"/>
          <w:highlight w:val="none"/>
        </w:rPr>
        <w:tab/>
      </w:r>
      <w:r>
        <w:rPr>
          <w:color w:val="auto"/>
          <w:highlight w:val="none"/>
        </w:rPr>
        <w:fldChar w:fldCharType="begin"/>
      </w:r>
      <w:r>
        <w:rPr>
          <w:color w:val="auto"/>
          <w:highlight w:val="none"/>
        </w:rPr>
        <w:instrText xml:space="preserve"> PAGEREF _Toc91247603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"_Toc91247604" </w:instrText>
      </w:r>
      <w:r>
        <w:rPr>
          <w:color w:val="auto"/>
          <w:highlight w:val="none"/>
        </w:rPr>
        <w:fldChar w:fldCharType="separate"/>
      </w:r>
      <w:r>
        <w:rPr>
          <w:rStyle w:val="39"/>
          <w:rFonts w:cs="宋体"/>
          <w:color w:val="auto"/>
          <w:highlight w:val="none"/>
        </w:rPr>
        <w:t>1 概述</w:t>
      </w:r>
      <w:r>
        <w:rPr>
          <w:color w:val="auto"/>
          <w:highlight w:val="none"/>
        </w:rPr>
        <w:tab/>
      </w:r>
      <w:r>
        <w:rPr>
          <w:color w:val="auto"/>
          <w:highlight w:val="none"/>
        </w:rPr>
        <w:fldChar w:fldCharType="begin"/>
      </w:r>
      <w:r>
        <w:rPr>
          <w:color w:val="auto"/>
          <w:highlight w:val="none"/>
        </w:rPr>
        <w:instrText xml:space="preserve"> PAGEREF _Toc91247604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"_Toc91247605" </w:instrText>
      </w:r>
      <w:r>
        <w:rPr>
          <w:color w:val="auto"/>
          <w:highlight w:val="none"/>
        </w:rPr>
        <w:fldChar w:fldCharType="separate"/>
      </w:r>
      <w:r>
        <w:rPr>
          <w:rStyle w:val="39"/>
          <w:rFonts w:cs="宋体"/>
          <w:color w:val="auto"/>
          <w:highlight w:val="none"/>
        </w:rPr>
        <w:t>2 工厂检验</w:t>
      </w:r>
      <w:r>
        <w:rPr>
          <w:color w:val="auto"/>
          <w:highlight w:val="none"/>
        </w:rPr>
        <w:tab/>
      </w:r>
      <w:r>
        <w:rPr>
          <w:color w:val="auto"/>
          <w:highlight w:val="none"/>
        </w:rPr>
        <w:fldChar w:fldCharType="begin"/>
      </w:r>
      <w:r>
        <w:rPr>
          <w:color w:val="auto"/>
          <w:highlight w:val="none"/>
        </w:rPr>
        <w:instrText xml:space="preserve"> PAGEREF _Toc91247605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29"/>
        <w:tabs>
          <w:tab w:val="right" w:leader="dot" w:pos="8303"/>
        </w:tabs>
        <w:ind w:left="480"/>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"_Toc91247606" </w:instrText>
      </w:r>
      <w:r>
        <w:rPr>
          <w:color w:val="auto"/>
          <w:highlight w:val="none"/>
        </w:rPr>
        <w:fldChar w:fldCharType="separate"/>
      </w:r>
      <w:r>
        <w:rPr>
          <w:rStyle w:val="39"/>
          <w:rFonts w:cs="宋体"/>
          <w:color w:val="auto"/>
          <w:highlight w:val="none"/>
        </w:rPr>
        <w:t>3 设备监造</w:t>
      </w:r>
      <w:r>
        <w:rPr>
          <w:color w:val="auto"/>
          <w:highlight w:val="none"/>
        </w:rPr>
        <w:tab/>
      </w:r>
      <w:r>
        <w:rPr>
          <w:color w:val="auto"/>
          <w:highlight w:val="none"/>
        </w:rPr>
        <w:fldChar w:fldCharType="begin"/>
      </w:r>
      <w:r>
        <w:rPr>
          <w:color w:val="auto"/>
          <w:highlight w:val="none"/>
        </w:rPr>
        <w:instrText xml:space="preserve"> PAGEREF _Toc91247606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25"/>
        <w:tabs>
          <w:tab w:val="right" w:leader="dot" w:pos="8303"/>
        </w:tabs>
        <w:rPr>
          <w:rFonts w:ascii="等线" w:hAnsi="等线" w:eastAsia="等线"/>
          <w:color w:val="auto"/>
          <w:sz w:val="21"/>
          <w:szCs w:val="22"/>
          <w:highlight w:val="none"/>
        </w:rPr>
      </w:pPr>
      <w:r>
        <w:rPr>
          <w:color w:val="auto"/>
          <w:highlight w:val="none"/>
        </w:rPr>
        <w:fldChar w:fldCharType="begin"/>
      </w:r>
      <w:r>
        <w:rPr>
          <w:color w:val="auto"/>
          <w:highlight w:val="none"/>
        </w:rPr>
        <w:instrText xml:space="preserve"> HYPERLINK \l "_Toc91247607" </w:instrText>
      </w:r>
      <w:r>
        <w:rPr>
          <w:color w:val="auto"/>
          <w:highlight w:val="none"/>
        </w:rPr>
        <w:fldChar w:fldCharType="separate"/>
      </w:r>
      <w:r>
        <w:rPr>
          <w:rStyle w:val="39"/>
          <w:rFonts w:cs="宋体"/>
          <w:color w:val="auto"/>
          <w:highlight w:val="none"/>
        </w:rPr>
        <w:t>第十一章 附图</w:t>
      </w:r>
      <w:r>
        <w:rPr>
          <w:color w:val="auto"/>
          <w:highlight w:val="none"/>
        </w:rPr>
        <w:tab/>
      </w:r>
      <w:r>
        <w:rPr>
          <w:color w:val="auto"/>
          <w:highlight w:val="none"/>
        </w:rPr>
        <w:fldChar w:fldCharType="begin"/>
      </w:r>
      <w:r>
        <w:rPr>
          <w:color w:val="auto"/>
          <w:highlight w:val="none"/>
        </w:rPr>
        <w:instrText xml:space="preserve"> PAGEREF _Toc91247607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ind w:firstLine="420" w:firstLineChars="200"/>
        <w:jc w:val="center"/>
        <w:outlineLvl w:val="0"/>
        <w:rPr>
          <w:rFonts w:ascii="宋体" w:hAnsi="宋体" w:cs="宋体"/>
          <w:color w:val="auto"/>
          <w:sz w:val="21"/>
          <w:szCs w:val="21"/>
          <w:highlight w:val="none"/>
        </w:rPr>
        <w:sectPr>
          <w:headerReference r:id="rId3" w:type="default"/>
          <w:pgSz w:w="11907" w:h="16840"/>
          <w:pgMar w:top="1440" w:right="1797" w:bottom="1440" w:left="1797" w:header="851" w:footer="992" w:gutter="0"/>
          <w:cols w:space="720" w:num="1"/>
          <w:docGrid w:linePitch="380" w:charSpace="0"/>
        </w:sectPr>
      </w:pPr>
      <w:r>
        <w:rPr>
          <w:rFonts w:hint="eastAsia" w:ascii="宋体" w:hAnsi="宋体" w:cs="宋体"/>
          <w:color w:val="auto"/>
          <w:sz w:val="21"/>
          <w:szCs w:val="21"/>
          <w:highlight w:val="none"/>
        </w:rPr>
        <w:fldChar w:fldCharType="end"/>
      </w:r>
      <w:bookmarkStart w:id="903" w:name="_GoBack"/>
      <w:bookmarkEnd w:id="903"/>
    </w:p>
    <w:p>
      <w:pPr>
        <w:pStyle w:val="4"/>
        <w:ind w:firstLine="422" w:firstLineChars="200"/>
        <w:jc w:val="center"/>
        <w:rPr>
          <w:rFonts w:cs="宋体"/>
          <w:color w:val="auto"/>
          <w:kern w:val="2"/>
          <w:sz w:val="21"/>
          <w:szCs w:val="21"/>
          <w:highlight w:val="none"/>
        </w:rPr>
      </w:pPr>
      <w:bookmarkStart w:id="15" w:name="OLE_LINK22"/>
      <w:bookmarkStart w:id="16" w:name="_Toc23282"/>
      <w:bookmarkStart w:id="17" w:name="_Toc7355"/>
      <w:bookmarkStart w:id="18" w:name="_Toc20566"/>
      <w:bookmarkStart w:id="19" w:name="_Toc8064"/>
      <w:bookmarkStart w:id="20" w:name="_Toc1576"/>
      <w:bookmarkStart w:id="21" w:name="_Toc26508"/>
      <w:bookmarkStart w:id="22" w:name="_Toc28793"/>
      <w:bookmarkStart w:id="23" w:name="_Toc23013"/>
      <w:bookmarkStart w:id="24" w:name="_Toc169606612"/>
      <w:bookmarkStart w:id="25" w:name="_Toc27982"/>
      <w:bookmarkStart w:id="26" w:name="_Toc20625"/>
      <w:bookmarkStart w:id="27" w:name="_Toc1647"/>
      <w:bookmarkStart w:id="28" w:name="_Toc23766"/>
      <w:bookmarkStart w:id="29" w:name="_Toc19486"/>
      <w:bookmarkStart w:id="30" w:name="_Toc29115"/>
      <w:bookmarkStart w:id="31" w:name="_Toc27553"/>
      <w:bookmarkStart w:id="32" w:name="_Toc24879"/>
      <w:bookmarkStart w:id="33" w:name="_Toc13893"/>
      <w:bookmarkStart w:id="34" w:name="_Toc6869"/>
      <w:bookmarkStart w:id="35" w:name="_Toc22882"/>
      <w:bookmarkStart w:id="36" w:name="_Toc27206"/>
      <w:bookmarkStart w:id="37" w:name="_Toc18383"/>
      <w:bookmarkStart w:id="38" w:name="_Toc4484"/>
      <w:bookmarkStart w:id="39" w:name="_Toc14637"/>
      <w:bookmarkStart w:id="40" w:name="_Toc7770"/>
      <w:bookmarkStart w:id="41" w:name="_Toc2263"/>
      <w:bookmarkStart w:id="42" w:name="_Toc10629"/>
      <w:bookmarkStart w:id="43" w:name="_Toc20797"/>
      <w:bookmarkStart w:id="44" w:name="_Toc18300"/>
      <w:bookmarkStart w:id="45" w:name="_Toc91247568"/>
      <w:bookmarkStart w:id="46" w:name="_Toc31075"/>
      <w:bookmarkStart w:id="47" w:name="_Toc28025"/>
      <w:bookmarkStart w:id="48" w:name="_Toc20287"/>
      <w:bookmarkStart w:id="49" w:name="_Toc28478"/>
      <w:bookmarkStart w:id="50" w:name="_Toc227"/>
      <w:bookmarkStart w:id="51" w:name="_Toc5919"/>
      <w:bookmarkStart w:id="52" w:name="_Toc31048"/>
      <w:bookmarkStart w:id="53" w:name="_Toc327"/>
      <w:bookmarkStart w:id="54" w:name="_Toc12258"/>
      <w:bookmarkStart w:id="55" w:name="_Toc7619"/>
      <w:bookmarkStart w:id="56" w:name="_Toc2527"/>
      <w:bookmarkStart w:id="57" w:name="_Toc3407"/>
      <w:bookmarkStart w:id="58" w:name="_Toc14517"/>
      <w:bookmarkStart w:id="59" w:name="_Toc3866"/>
      <w:bookmarkStart w:id="60" w:name="_Toc5296"/>
      <w:bookmarkStart w:id="61" w:name="_Toc25592"/>
      <w:bookmarkStart w:id="62" w:name="_Toc26497"/>
      <w:bookmarkStart w:id="63" w:name="_Toc2986"/>
      <w:bookmarkStart w:id="64" w:name="_Toc6146"/>
      <w:bookmarkStart w:id="65" w:name="_Toc8732"/>
      <w:bookmarkStart w:id="66" w:name="_Toc16207"/>
      <w:bookmarkStart w:id="67" w:name="_Toc1010"/>
      <w:bookmarkStart w:id="68" w:name="_Toc25455"/>
      <w:bookmarkStart w:id="69" w:name="_Toc16503"/>
      <w:bookmarkStart w:id="70" w:name="_Toc10406"/>
      <w:bookmarkStart w:id="71" w:name="_Toc4372"/>
      <w:bookmarkStart w:id="72" w:name="_Toc15488"/>
      <w:bookmarkStart w:id="73" w:name="OLE_LINK4"/>
      <w:bookmarkStart w:id="74" w:name="_Toc169606613"/>
      <w:bookmarkStart w:id="75" w:name="_Toc155151895"/>
      <w:bookmarkStart w:id="76" w:name="_Toc163612833"/>
      <w:bookmarkStart w:id="77" w:name="_Toc5573"/>
      <w:bookmarkStart w:id="78" w:name="OLE_LINK6"/>
      <w:r>
        <w:rPr>
          <w:rFonts w:hint="eastAsia" w:cs="宋体"/>
          <w:color w:val="auto"/>
          <w:kern w:val="2"/>
          <w:sz w:val="21"/>
          <w:szCs w:val="21"/>
          <w:highlight w:val="none"/>
        </w:rPr>
        <w:t>第一章</w:t>
      </w:r>
      <w:bookmarkEnd w:id="15"/>
      <w:r>
        <w:rPr>
          <w:rFonts w:hint="eastAsia" w:cs="宋体"/>
          <w:color w:val="auto"/>
          <w:kern w:val="2"/>
          <w:sz w:val="21"/>
          <w:szCs w:val="21"/>
          <w:highlight w:val="none"/>
        </w:rPr>
        <w:t xml:space="preserve"> 总</w:t>
      </w:r>
      <w:bookmarkEnd w:id="16"/>
      <w:bookmarkEnd w:id="17"/>
      <w:bookmarkEnd w:id="18"/>
      <w:bookmarkEnd w:id="19"/>
      <w:bookmarkEnd w:id="20"/>
      <w:bookmarkEnd w:id="21"/>
      <w:bookmarkEnd w:id="22"/>
      <w:bookmarkEnd w:id="23"/>
      <w:bookmarkEnd w:id="24"/>
      <w:bookmarkEnd w:id="25"/>
      <w:bookmarkEnd w:id="26"/>
      <w:bookmarkEnd w:id="27"/>
      <w:r>
        <w:rPr>
          <w:rFonts w:hint="eastAsia" w:cs="宋体"/>
          <w:color w:val="auto"/>
          <w:kern w:val="2"/>
          <w:sz w:val="21"/>
          <w:szCs w:val="21"/>
          <w:highlight w:val="none"/>
        </w:rPr>
        <w:t>则</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bookmarkEnd w:id="66"/>
    <w:bookmarkEnd w:id="67"/>
    <w:bookmarkEnd w:id="68"/>
    <w:bookmarkEnd w:id="69"/>
    <w:bookmarkEnd w:id="70"/>
    <w:bookmarkEnd w:id="71"/>
    <w:bookmarkEnd w:id="72"/>
    <w:bookmarkEnd w:id="73"/>
    <w:p>
      <w:pPr>
        <w:pStyle w:val="5"/>
        <w:rPr>
          <w:color w:val="auto"/>
          <w:sz w:val="21"/>
          <w:szCs w:val="21"/>
          <w:highlight w:val="none"/>
        </w:rPr>
      </w:pPr>
      <w:bookmarkStart w:id="79" w:name="_Toc20937"/>
      <w:bookmarkStart w:id="80" w:name="_Toc27754"/>
      <w:bookmarkStart w:id="81" w:name="_Toc2442"/>
      <w:bookmarkStart w:id="82" w:name="_Toc18058"/>
      <w:bookmarkStart w:id="83" w:name="_Toc13027"/>
      <w:bookmarkStart w:id="84" w:name="_Toc4364"/>
      <w:bookmarkStart w:id="85" w:name="_Toc24766"/>
      <w:bookmarkStart w:id="86" w:name="_Toc23059"/>
      <w:bookmarkStart w:id="87" w:name="_Toc4865"/>
      <w:bookmarkStart w:id="88" w:name="_Toc91247569"/>
      <w:bookmarkStart w:id="89" w:name="_Toc20639"/>
      <w:bookmarkStart w:id="90" w:name="_Toc29896"/>
      <w:bookmarkStart w:id="91" w:name="_Toc14093"/>
      <w:bookmarkStart w:id="92" w:name="_Toc16380"/>
      <w:bookmarkStart w:id="93" w:name="_Toc3015"/>
      <w:bookmarkStart w:id="94" w:name="_Toc8427"/>
      <w:bookmarkStart w:id="95" w:name="_Toc25880"/>
      <w:bookmarkStart w:id="96" w:name="_Toc10293"/>
      <w:bookmarkStart w:id="97" w:name="_Toc17258"/>
      <w:bookmarkStart w:id="98" w:name="_Toc20767"/>
      <w:bookmarkStart w:id="99" w:name="OLE_LINK3"/>
      <w:r>
        <w:rPr>
          <w:rFonts w:hint="eastAsia"/>
          <w:color w:val="auto"/>
          <w:sz w:val="21"/>
          <w:szCs w:val="21"/>
          <w:highlight w:val="none"/>
        </w:rPr>
        <w:t>1 主要设备需求表</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tbl>
      <w:tblPr>
        <w:tblStyle w:val="34"/>
        <w:tblW w:w="5000" w:type="pct"/>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autofit"/>
        <w:tblCellMar>
          <w:top w:w="0" w:type="dxa"/>
          <w:left w:w="107" w:type="dxa"/>
          <w:bottom w:w="0" w:type="dxa"/>
          <w:right w:w="107" w:type="dxa"/>
        </w:tblCellMar>
      </w:tblPr>
      <w:tblGrid>
        <w:gridCol w:w="674"/>
        <w:gridCol w:w="1973"/>
        <w:gridCol w:w="1787"/>
        <w:gridCol w:w="643"/>
        <w:gridCol w:w="699"/>
        <w:gridCol w:w="2751"/>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7" w:type="dxa"/>
            <w:bottom w:w="0" w:type="dxa"/>
            <w:right w:w="107" w:type="dxa"/>
          </w:tblCellMar>
        </w:tblPrEx>
        <w:trPr>
          <w:cantSplit/>
          <w:tblHeader/>
          <w:jc w:val="center"/>
        </w:trPr>
        <w:tc>
          <w:tcPr>
            <w:tcW w:w="395"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编号</w:t>
            </w:r>
          </w:p>
        </w:tc>
        <w:tc>
          <w:tcPr>
            <w:tcW w:w="1157"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设备名称</w:t>
            </w:r>
          </w:p>
        </w:tc>
        <w:tc>
          <w:tcPr>
            <w:tcW w:w="1048"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型号规格</w:t>
            </w:r>
          </w:p>
        </w:tc>
        <w:tc>
          <w:tcPr>
            <w:tcW w:w="377"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数量</w:t>
            </w:r>
          </w:p>
        </w:tc>
        <w:tc>
          <w:tcPr>
            <w:tcW w:w="410"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单位</w:t>
            </w:r>
          </w:p>
        </w:tc>
        <w:tc>
          <w:tcPr>
            <w:tcW w:w="1613"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7" w:type="dxa"/>
            <w:bottom w:w="0" w:type="dxa"/>
            <w:right w:w="107" w:type="dxa"/>
          </w:tblCellMar>
        </w:tblPrEx>
        <w:trPr>
          <w:cantSplit/>
          <w:trHeight w:val="465" w:hRule="atLeast"/>
          <w:jc w:val="center"/>
        </w:trPr>
        <w:tc>
          <w:tcPr>
            <w:tcW w:w="395"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1</w:t>
            </w:r>
          </w:p>
        </w:tc>
        <w:tc>
          <w:tcPr>
            <w:tcW w:w="1157" w:type="pct"/>
            <w:vAlign w:val="center"/>
          </w:tcPr>
          <w:p>
            <w:pPr>
              <w:snapToGrid w:val="0"/>
              <w:spacing w:line="240" w:lineRule="auto"/>
              <w:rPr>
                <w:color w:val="auto"/>
                <w:sz w:val="21"/>
                <w:szCs w:val="21"/>
                <w:highlight w:val="none"/>
              </w:rPr>
            </w:pPr>
            <w:r>
              <w:rPr>
                <w:color w:val="auto"/>
                <w:sz w:val="21"/>
                <w:szCs w:val="21"/>
                <w:highlight w:val="none"/>
              </w:rPr>
              <w:t>组串式逆变器</w:t>
            </w:r>
          </w:p>
        </w:tc>
        <w:tc>
          <w:tcPr>
            <w:tcW w:w="1048" w:type="pct"/>
            <w:vAlign w:val="center"/>
          </w:tcPr>
          <w:p>
            <w:pPr>
              <w:snapToGrid w:val="0"/>
              <w:spacing w:line="240" w:lineRule="auto"/>
              <w:jc w:val="left"/>
              <w:rPr>
                <w:color w:val="auto"/>
                <w:sz w:val="21"/>
                <w:szCs w:val="21"/>
                <w:highlight w:val="none"/>
              </w:rPr>
            </w:pPr>
            <w:r>
              <w:rPr>
                <w:rFonts w:hint="eastAsia"/>
                <w:color w:val="auto"/>
                <w:sz w:val="21"/>
                <w:szCs w:val="21"/>
                <w:highlight w:val="none"/>
              </w:rPr>
              <w:t>DC1</w:t>
            </w:r>
            <w:r>
              <w:rPr>
                <w:color w:val="auto"/>
                <w:sz w:val="21"/>
                <w:szCs w:val="21"/>
                <w:highlight w:val="none"/>
              </w:rPr>
              <w:t>500</w:t>
            </w:r>
            <w:r>
              <w:rPr>
                <w:rFonts w:hint="eastAsia"/>
                <w:color w:val="auto"/>
                <w:sz w:val="21"/>
                <w:szCs w:val="21"/>
                <w:highlight w:val="none"/>
              </w:rPr>
              <w:t>V，每2~</w:t>
            </w:r>
            <w:r>
              <w:rPr>
                <w:color w:val="auto"/>
                <w:sz w:val="21"/>
                <w:szCs w:val="21"/>
                <w:highlight w:val="none"/>
              </w:rPr>
              <w:t>5</w:t>
            </w:r>
            <w:r>
              <w:rPr>
                <w:rFonts w:hint="eastAsia"/>
                <w:color w:val="auto"/>
                <w:sz w:val="21"/>
                <w:szCs w:val="21"/>
                <w:highlight w:val="none"/>
              </w:rPr>
              <w:t>串为一个MPPT，具备防PID功能，输出电压AC</w:t>
            </w:r>
            <w:r>
              <w:rPr>
                <w:color w:val="auto"/>
                <w:sz w:val="21"/>
                <w:szCs w:val="21"/>
                <w:highlight w:val="none"/>
              </w:rPr>
              <w:t>800</w:t>
            </w:r>
            <w:r>
              <w:rPr>
                <w:rFonts w:hint="eastAsia"/>
                <w:color w:val="auto"/>
                <w:sz w:val="21"/>
                <w:szCs w:val="21"/>
                <w:highlight w:val="none"/>
              </w:rPr>
              <w:t>V（暂定），PLC通讯；满足至少</w:t>
            </w:r>
            <w:r>
              <w:rPr>
                <w:color w:val="auto"/>
                <w:sz w:val="21"/>
                <w:szCs w:val="21"/>
                <w:highlight w:val="none"/>
              </w:rPr>
              <w:t>21210</w:t>
            </w:r>
            <w:r>
              <w:rPr>
                <w:rFonts w:hint="eastAsia"/>
                <w:color w:val="auto"/>
                <w:sz w:val="21"/>
                <w:szCs w:val="21"/>
                <w:highlight w:val="none"/>
              </w:rPr>
              <w:t>串双面光伏组件接入</w:t>
            </w:r>
          </w:p>
        </w:tc>
        <w:tc>
          <w:tcPr>
            <w:tcW w:w="377"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按需</w:t>
            </w:r>
          </w:p>
        </w:tc>
        <w:tc>
          <w:tcPr>
            <w:tcW w:w="410"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台</w:t>
            </w:r>
          </w:p>
        </w:tc>
        <w:tc>
          <w:tcPr>
            <w:tcW w:w="1613" w:type="pct"/>
            <w:vAlign w:val="center"/>
          </w:tcPr>
          <w:p>
            <w:pPr>
              <w:widowControl/>
              <w:spacing w:line="240" w:lineRule="auto"/>
              <w:rPr>
                <w:color w:val="auto"/>
                <w:sz w:val="21"/>
                <w:szCs w:val="21"/>
                <w:highlight w:val="none"/>
              </w:rPr>
            </w:pPr>
            <w:r>
              <w:rPr>
                <w:rFonts w:hint="eastAsia"/>
                <w:color w:val="auto"/>
                <w:sz w:val="21"/>
                <w:szCs w:val="21"/>
                <w:highlight w:val="none"/>
              </w:rPr>
              <w:t>组件为2</w:t>
            </w:r>
            <w:r>
              <w:rPr>
                <w:color w:val="auto"/>
                <w:sz w:val="21"/>
                <w:szCs w:val="21"/>
                <w:highlight w:val="none"/>
              </w:rPr>
              <w:t>10</w:t>
            </w:r>
            <w:r>
              <w:rPr>
                <w:rFonts w:hint="eastAsia"/>
                <w:color w:val="auto"/>
                <w:sz w:val="21"/>
                <w:szCs w:val="21"/>
                <w:highlight w:val="none"/>
              </w:rPr>
              <w:t>电池片</w:t>
            </w:r>
            <w:r>
              <w:rPr>
                <w:color w:val="auto"/>
                <w:sz w:val="21"/>
                <w:szCs w:val="21"/>
                <w:highlight w:val="none"/>
              </w:rPr>
              <w:t>650</w:t>
            </w:r>
            <w:r>
              <w:rPr>
                <w:rFonts w:hint="eastAsia"/>
                <w:color w:val="auto"/>
                <w:sz w:val="21"/>
                <w:szCs w:val="21"/>
                <w:highlight w:val="none"/>
              </w:rPr>
              <w:t>Wp双面双玻组件，共</w:t>
            </w:r>
            <w:r>
              <w:rPr>
                <w:color w:val="auto"/>
                <w:sz w:val="21"/>
                <w:szCs w:val="21"/>
                <w:highlight w:val="none"/>
              </w:rPr>
              <w:t>636300块；总容量为413.595MWp</w:t>
            </w:r>
            <w:r>
              <w:rPr>
                <w:rFonts w:hint="eastAsia"/>
                <w:color w:val="auto"/>
                <w:sz w:val="21"/>
                <w:szCs w:val="21"/>
                <w:highlight w:val="none"/>
              </w:rPr>
              <w:t>，请按照组件布置数量合理配置逆变器台数。</w:t>
            </w:r>
          </w:p>
        </w:tc>
      </w:tr>
      <w:bookmarkEnd w:id="99"/>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7" w:type="dxa"/>
            <w:bottom w:w="0" w:type="dxa"/>
            <w:right w:w="107" w:type="dxa"/>
          </w:tblCellMar>
        </w:tblPrEx>
        <w:trPr>
          <w:cantSplit/>
          <w:trHeight w:val="465" w:hRule="atLeast"/>
          <w:jc w:val="center"/>
        </w:trPr>
        <w:tc>
          <w:tcPr>
            <w:tcW w:w="395" w:type="pct"/>
            <w:vAlign w:val="center"/>
          </w:tcPr>
          <w:p>
            <w:pPr>
              <w:snapToGrid w:val="0"/>
              <w:spacing w:line="240" w:lineRule="auto"/>
              <w:jc w:val="center"/>
              <w:rPr>
                <w:color w:val="auto"/>
                <w:sz w:val="21"/>
                <w:szCs w:val="21"/>
                <w:highlight w:val="none"/>
              </w:rPr>
            </w:pPr>
            <w:bookmarkStart w:id="100" w:name="OLE_LINK2"/>
            <w:bookmarkStart w:id="101" w:name="_Toc6924"/>
            <w:bookmarkStart w:id="102" w:name="_Toc26558"/>
            <w:bookmarkStart w:id="103" w:name="_Toc3451"/>
            <w:r>
              <w:rPr>
                <w:color w:val="auto"/>
                <w:sz w:val="21"/>
                <w:szCs w:val="21"/>
                <w:highlight w:val="none"/>
              </w:rPr>
              <w:t>2</w:t>
            </w:r>
          </w:p>
        </w:tc>
        <w:tc>
          <w:tcPr>
            <w:tcW w:w="1157" w:type="pct"/>
            <w:vAlign w:val="center"/>
          </w:tcPr>
          <w:p>
            <w:pPr>
              <w:snapToGrid w:val="0"/>
              <w:spacing w:line="240" w:lineRule="auto"/>
              <w:rPr>
                <w:color w:val="auto"/>
                <w:sz w:val="21"/>
                <w:szCs w:val="21"/>
                <w:highlight w:val="none"/>
              </w:rPr>
            </w:pPr>
            <w:r>
              <w:rPr>
                <w:color w:val="auto"/>
                <w:sz w:val="21"/>
                <w:szCs w:val="21"/>
                <w:highlight w:val="none"/>
              </w:rPr>
              <w:t>组串式逆变器</w:t>
            </w:r>
          </w:p>
        </w:tc>
        <w:tc>
          <w:tcPr>
            <w:tcW w:w="1048" w:type="pct"/>
            <w:vAlign w:val="center"/>
          </w:tcPr>
          <w:p>
            <w:pPr>
              <w:snapToGrid w:val="0"/>
              <w:spacing w:line="240" w:lineRule="auto"/>
              <w:jc w:val="left"/>
              <w:rPr>
                <w:color w:val="auto"/>
                <w:sz w:val="21"/>
                <w:szCs w:val="21"/>
                <w:highlight w:val="none"/>
              </w:rPr>
            </w:pPr>
            <w:r>
              <w:rPr>
                <w:rFonts w:hint="eastAsia"/>
                <w:color w:val="auto"/>
                <w:sz w:val="21"/>
                <w:szCs w:val="21"/>
                <w:highlight w:val="none"/>
              </w:rPr>
              <w:t>DC1</w:t>
            </w:r>
            <w:r>
              <w:rPr>
                <w:color w:val="auto"/>
                <w:sz w:val="21"/>
                <w:szCs w:val="21"/>
                <w:highlight w:val="none"/>
              </w:rPr>
              <w:t>500</w:t>
            </w:r>
            <w:r>
              <w:rPr>
                <w:rFonts w:hint="eastAsia"/>
                <w:color w:val="auto"/>
                <w:sz w:val="21"/>
                <w:szCs w:val="21"/>
                <w:highlight w:val="none"/>
              </w:rPr>
              <w:t>V，每2~</w:t>
            </w:r>
            <w:r>
              <w:rPr>
                <w:color w:val="auto"/>
                <w:sz w:val="21"/>
                <w:szCs w:val="21"/>
                <w:highlight w:val="none"/>
              </w:rPr>
              <w:t>5</w:t>
            </w:r>
            <w:r>
              <w:rPr>
                <w:rFonts w:hint="eastAsia"/>
                <w:color w:val="auto"/>
                <w:sz w:val="21"/>
                <w:szCs w:val="21"/>
                <w:highlight w:val="none"/>
              </w:rPr>
              <w:t>串为一个MPPT，具备防PID功能，输出电压AC</w:t>
            </w:r>
            <w:r>
              <w:rPr>
                <w:color w:val="auto"/>
                <w:sz w:val="21"/>
                <w:szCs w:val="21"/>
                <w:highlight w:val="none"/>
              </w:rPr>
              <w:t>800</w:t>
            </w:r>
            <w:r>
              <w:rPr>
                <w:rFonts w:hint="eastAsia"/>
                <w:color w:val="auto"/>
                <w:sz w:val="21"/>
                <w:szCs w:val="21"/>
                <w:highlight w:val="none"/>
              </w:rPr>
              <w:t>V（暂定），PLC通讯；满足至少</w:t>
            </w:r>
            <w:r>
              <w:rPr>
                <w:color w:val="auto"/>
                <w:sz w:val="21"/>
                <w:szCs w:val="21"/>
                <w:highlight w:val="none"/>
              </w:rPr>
              <w:t>6720</w:t>
            </w:r>
            <w:r>
              <w:rPr>
                <w:rFonts w:hint="eastAsia"/>
                <w:color w:val="auto"/>
                <w:sz w:val="21"/>
                <w:szCs w:val="21"/>
                <w:highlight w:val="none"/>
              </w:rPr>
              <w:t>串双面光伏组件接入</w:t>
            </w:r>
          </w:p>
        </w:tc>
        <w:tc>
          <w:tcPr>
            <w:tcW w:w="377"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按需</w:t>
            </w:r>
          </w:p>
        </w:tc>
        <w:tc>
          <w:tcPr>
            <w:tcW w:w="410"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台</w:t>
            </w:r>
          </w:p>
        </w:tc>
        <w:tc>
          <w:tcPr>
            <w:tcW w:w="1613" w:type="pct"/>
            <w:vAlign w:val="center"/>
          </w:tcPr>
          <w:p>
            <w:pPr>
              <w:widowControl/>
              <w:spacing w:line="240" w:lineRule="auto"/>
              <w:rPr>
                <w:color w:val="auto"/>
                <w:sz w:val="21"/>
                <w:szCs w:val="21"/>
                <w:highlight w:val="none"/>
              </w:rPr>
            </w:pPr>
            <w:r>
              <w:rPr>
                <w:rFonts w:hint="eastAsia"/>
                <w:color w:val="auto"/>
                <w:sz w:val="21"/>
                <w:szCs w:val="21"/>
                <w:highlight w:val="none"/>
              </w:rPr>
              <w:t>组件为1</w:t>
            </w:r>
            <w:r>
              <w:rPr>
                <w:color w:val="auto"/>
                <w:sz w:val="21"/>
                <w:szCs w:val="21"/>
                <w:highlight w:val="none"/>
              </w:rPr>
              <w:t>82</w:t>
            </w:r>
            <w:r>
              <w:rPr>
                <w:rFonts w:hint="eastAsia"/>
                <w:color w:val="auto"/>
                <w:sz w:val="21"/>
                <w:szCs w:val="21"/>
                <w:highlight w:val="none"/>
              </w:rPr>
              <w:t>电池片</w:t>
            </w:r>
            <w:r>
              <w:rPr>
                <w:color w:val="auto"/>
                <w:sz w:val="21"/>
                <w:szCs w:val="21"/>
                <w:highlight w:val="none"/>
              </w:rPr>
              <w:t>570</w:t>
            </w:r>
            <w:r>
              <w:rPr>
                <w:rFonts w:hint="eastAsia"/>
                <w:color w:val="auto"/>
                <w:sz w:val="21"/>
                <w:szCs w:val="21"/>
                <w:highlight w:val="none"/>
              </w:rPr>
              <w:t>Wp双面双玻组件，共</w:t>
            </w:r>
            <w:r>
              <w:rPr>
                <w:color w:val="auto"/>
                <w:sz w:val="21"/>
                <w:szCs w:val="21"/>
                <w:highlight w:val="none"/>
              </w:rPr>
              <w:t>174720块；总容量为99.5904MWp</w:t>
            </w:r>
            <w:r>
              <w:rPr>
                <w:rFonts w:hint="eastAsia"/>
                <w:color w:val="auto"/>
                <w:sz w:val="21"/>
                <w:szCs w:val="21"/>
                <w:highlight w:val="none"/>
              </w:rPr>
              <w:t>，请按照组件布置数量合理配置逆变器台数。</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7" w:type="dxa"/>
            <w:bottom w:w="0" w:type="dxa"/>
            <w:right w:w="107" w:type="dxa"/>
          </w:tblCellMar>
        </w:tblPrEx>
        <w:trPr>
          <w:cantSplit/>
          <w:trHeight w:val="465" w:hRule="atLeast"/>
          <w:jc w:val="center"/>
        </w:trPr>
        <w:tc>
          <w:tcPr>
            <w:tcW w:w="395" w:type="pct"/>
            <w:vAlign w:val="center"/>
          </w:tcPr>
          <w:p>
            <w:pPr>
              <w:snapToGrid w:val="0"/>
              <w:spacing w:line="240" w:lineRule="auto"/>
              <w:jc w:val="center"/>
              <w:rPr>
                <w:color w:val="auto"/>
                <w:sz w:val="21"/>
                <w:szCs w:val="21"/>
                <w:highlight w:val="none"/>
              </w:rPr>
            </w:pPr>
            <w:r>
              <w:rPr>
                <w:color w:val="auto"/>
                <w:sz w:val="21"/>
                <w:szCs w:val="21"/>
                <w:highlight w:val="none"/>
              </w:rPr>
              <w:t>3</w:t>
            </w:r>
          </w:p>
        </w:tc>
        <w:tc>
          <w:tcPr>
            <w:tcW w:w="1157" w:type="pct"/>
            <w:vAlign w:val="center"/>
          </w:tcPr>
          <w:p>
            <w:pPr>
              <w:snapToGrid w:val="0"/>
              <w:spacing w:line="240" w:lineRule="auto"/>
              <w:rPr>
                <w:color w:val="auto"/>
                <w:sz w:val="21"/>
                <w:szCs w:val="21"/>
                <w:highlight w:val="none"/>
              </w:rPr>
            </w:pPr>
            <w:r>
              <w:rPr>
                <w:rFonts w:hint="eastAsia"/>
                <w:color w:val="auto"/>
                <w:sz w:val="21"/>
                <w:szCs w:val="21"/>
                <w:highlight w:val="none"/>
              </w:rPr>
              <w:t>智能</w:t>
            </w:r>
            <w:r>
              <w:rPr>
                <w:color w:val="auto"/>
                <w:sz w:val="21"/>
                <w:szCs w:val="21"/>
                <w:highlight w:val="none"/>
              </w:rPr>
              <w:t>通讯箱</w:t>
            </w:r>
          </w:p>
        </w:tc>
        <w:tc>
          <w:tcPr>
            <w:tcW w:w="1048" w:type="pct"/>
            <w:vAlign w:val="center"/>
          </w:tcPr>
          <w:p>
            <w:pPr>
              <w:snapToGrid w:val="0"/>
              <w:spacing w:line="240" w:lineRule="auto"/>
              <w:rPr>
                <w:color w:val="auto"/>
                <w:sz w:val="21"/>
                <w:szCs w:val="21"/>
                <w:highlight w:val="none"/>
              </w:rPr>
            </w:pPr>
            <w:r>
              <w:rPr>
                <w:rFonts w:hint="eastAsia"/>
                <w:color w:val="auto"/>
                <w:sz w:val="21"/>
                <w:szCs w:val="21"/>
                <w:highlight w:val="none"/>
              </w:rPr>
              <w:t>含数据采集器、PLC模块、PID模块等安装位置</w:t>
            </w:r>
          </w:p>
        </w:tc>
        <w:tc>
          <w:tcPr>
            <w:tcW w:w="377" w:type="pct"/>
            <w:vAlign w:val="center"/>
          </w:tcPr>
          <w:p>
            <w:pPr>
              <w:snapToGrid w:val="0"/>
              <w:spacing w:line="240" w:lineRule="auto"/>
              <w:jc w:val="center"/>
              <w:rPr>
                <w:color w:val="auto"/>
                <w:sz w:val="21"/>
                <w:szCs w:val="21"/>
                <w:highlight w:val="none"/>
              </w:rPr>
            </w:pPr>
            <w:r>
              <w:rPr>
                <w:color w:val="auto"/>
                <w:sz w:val="21"/>
                <w:szCs w:val="21"/>
                <w:highlight w:val="none"/>
              </w:rPr>
              <w:t>121</w:t>
            </w:r>
          </w:p>
        </w:tc>
        <w:tc>
          <w:tcPr>
            <w:tcW w:w="410"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台</w:t>
            </w:r>
          </w:p>
        </w:tc>
        <w:tc>
          <w:tcPr>
            <w:tcW w:w="1613" w:type="pct"/>
            <w:vAlign w:val="center"/>
          </w:tcPr>
          <w:p>
            <w:pPr>
              <w:snapToGrid w:val="0"/>
              <w:spacing w:line="240" w:lineRule="auto"/>
              <w:rPr>
                <w:color w:val="auto"/>
                <w:sz w:val="21"/>
                <w:szCs w:val="21"/>
                <w:highlight w:val="none"/>
              </w:rPr>
            </w:pPr>
            <w:r>
              <w:rPr>
                <w:rFonts w:hint="eastAsia"/>
                <w:color w:val="auto"/>
                <w:sz w:val="21"/>
                <w:szCs w:val="21"/>
                <w:highlight w:val="none"/>
              </w:rPr>
              <w:t>数量暂定，最终根据箱变数量调整，费用含在投标总价中。</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7" w:type="dxa"/>
            <w:bottom w:w="0" w:type="dxa"/>
            <w:right w:w="107" w:type="dxa"/>
          </w:tblCellMar>
        </w:tblPrEx>
        <w:trPr>
          <w:cantSplit/>
          <w:trHeight w:val="465" w:hRule="atLeast"/>
          <w:jc w:val="center"/>
        </w:trPr>
        <w:tc>
          <w:tcPr>
            <w:tcW w:w="395"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4</w:t>
            </w:r>
          </w:p>
        </w:tc>
        <w:tc>
          <w:tcPr>
            <w:tcW w:w="1157" w:type="pct"/>
            <w:vAlign w:val="center"/>
          </w:tcPr>
          <w:p>
            <w:pPr>
              <w:snapToGrid w:val="0"/>
              <w:spacing w:line="240" w:lineRule="auto"/>
              <w:rPr>
                <w:color w:val="auto"/>
                <w:sz w:val="21"/>
                <w:szCs w:val="21"/>
                <w:highlight w:val="none"/>
              </w:rPr>
            </w:pPr>
            <w:r>
              <w:rPr>
                <w:rFonts w:hint="eastAsia"/>
                <w:color w:val="auto"/>
                <w:sz w:val="21"/>
                <w:szCs w:val="21"/>
                <w:highlight w:val="none"/>
              </w:rPr>
              <w:t>站控管理系统</w:t>
            </w:r>
          </w:p>
        </w:tc>
        <w:tc>
          <w:tcPr>
            <w:tcW w:w="1048" w:type="pct"/>
            <w:vAlign w:val="center"/>
          </w:tcPr>
          <w:p>
            <w:pPr>
              <w:snapToGrid w:val="0"/>
              <w:spacing w:line="240" w:lineRule="auto"/>
              <w:rPr>
                <w:color w:val="auto"/>
                <w:sz w:val="21"/>
                <w:szCs w:val="21"/>
                <w:highlight w:val="none"/>
              </w:rPr>
            </w:pPr>
            <w:r>
              <w:rPr>
                <w:rFonts w:hint="eastAsia"/>
                <w:color w:val="auto"/>
                <w:sz w:val="21"/>
                <w:szCs w:val="21"/>
                <w:highlight w:val="none"/>
              </w:rPr>
              <w:t>搭建满足智慧运维要求的站控管理系统。</w:t>
            </w:r>
          </w:p>
        </w:tc>
        <w:tc>
          <w:tcPr>
            <w:tcW w:w="377"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1</w:t>
            </w:r>
          </w:p>
        </w:tc>
        <w:tc>
          <w:tcPr>
            <w:tcW w:w="410"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套</w:t>
            </w:r>
          </w:p>
        </w:tc>
        <w:tc>
          <w:tcPr>
            <w:tcW w:w="1613" w:type="pct"/>
            <w:vAlign w:val="center"/>
          </w:tcPr>
          <w:p>
            <w:pPr>
              <w:snapToGrid w:val="0"/>
              <w:spacing w:line="240" w:lineRule="auto"/>
              <w:rPr>
                <w:color w:val="auto"/>
                <w:sz w:val="21"/>
                <w:szCs w:val="21"/>
                <w:highlight w:val="none"/>
              </w:rPr>
            </w:pPr>
            <w:r>
              <w:rPr>
                <w:rFonts w:hint="eastAsia"/>
                <w:color w:val="auto"/>
                <w:sz w:val="21"/>
                <w:szCs w:val="21"/>
                <w:highlight w:val="none"/>
              </w:rPr>
              <w:t>包含系统所需软硬件设备（站控层），完成系统安装、调试等工作，包括光伏区箱变等电气设备信号的接入。含工作站、服务器、光纤交换机（满足光伏区至少20个光纤环网的接入）、防火墙、千兆纵向加密装置、光纤终端盒、屏柜及相关附件等。</w:t>
            </w:r>
          </w:p>
        </w:tc>
      </w:tr>
    </w:tbl>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注：1.逆变器接入串数为暂定值，最终施工图为准。</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箱变测控接入数据采集器，通讯协议待箱变厂家确定后确定，数据采集器通过纵向加密装置再经环网交换机通过光纤环网上传监控信息，应至少支持61850、103、104、modbus等常规通讯协议，方便与箱变测控和升压站电站监控系统、远动装置、AGC/AVC系统、一次调频系统等通讯，通信传输速率及逆变器调节应满足监控后台控制、AGC/AVC调节及一次调频等的需要。</w:t>
      </w:r>
      <w:r>
        <w:rPr>
          <w:rFonts w:hint="eastAsia" w:ascii="宋体" w:hAnsi="宋体" w:cs="宋体"/>
          <w:bCs/>
          <w:color w:val="auto"/>
          <w:sz w:val="21"/>
          <w:szCs w:val="21"/>
          <w:highlight w:val="none"/>
        </w:rPr>
        <w:t>站级管理系统采用61850、103、104、modbus等常规标准通讯协议。</w:t>
      </w:r>
    </w:p>
    <w:bookmarkEnd w:id="100"/>
    <w:bookmarkEnd w:id="101"/>
    <w:bookmarkEnd w:id="102"/>
    <w:bookmarkEnd w:id="103"/>
    <w:p>
      <w:pPr>
        <w:pStyle w:val="5"/>
        <w:rPr>
          <w:rFonts w:cs="宋体"/>
          <w:color w:val="auto"/>
          <w:sz w:val="21"/>
          <w:szCs w:val="21"/>
          <w:highlight w:val="none"/>
        </w:rPr>
      </w:pPr>
      <w:bookmarkStart w:id="104" w:name="_Toc30104"/>
      <w:bookmarkStart w:id="105" w:name="_Toc31634"/>
      <w:bookmarkStart w:id="106" w:name="_Toc21497"/>
      <w:bookmarkStart w:id="107" w:name="_Toc9062"/>
      <w:bookmarkStart w:id="108" w:name="_Toc32760"/>
      <w:bookmarkStart w:id="109" w:name="_Toc1564"/>
      <w:bookmarkStart w:id="110" w:name="_Toc19156"/>
      <w:bookmarkStart w:id="111" w:name="_Toc27266"/>
      <w:bookmarkStart w:id="112" w:name="_Toc17355"/>
      <w:bookmarkStart w:id="113" w:name="_Toc32193"/>
      <w:bookmarkStart w:id="114" w:name="_Toc6984"/>
      <w:bookmarkStart w:id="115" w:name="_Toc24631"/>
      <w:bookmarkStart w:id="116" w:name="_Toc4490"/>
      <w:bookmarkStart w:id="117" w:name="_Toc474832138"/>
      <w:bookmarkStart w:id="118" w:name="_Toc3680"/>
      <w:bookmarkStart w:id="119" w:name="_Toc12760"/>
      <w:bookmarkStart w:id="120" w:name="_Toc29350"/>
      <w:bookmarkStart w:id="121" w:name="_Toc21263"/>
      <w:bookmarkStart w:id="122" w:name="_Toc27167"/>
      <w:bookmarkStart w:id="123" w:name="_Toc1493"/>
      <w:bookmarkStart w:id="124" w:name="_Toc32571"/>
      <w:bookmarkStart w:id="125" w:name="_Toc30819"/>
      <w:bookmarkStart w:id="126" w:name="_Toc31265"/>
      <w:bookmarkStart w:id="127" w:name="_Toc25336"/>
      <w:bookmarkStart w:id="128" w:name="_Toc2780"/>
      <w:bookmarkStart w:id="129" w:name="_Toc21033"/>
      <w:bookmarkStart w:id="130" w:name="_Toc28089"/>
      <w:bookmarkStart w:id="131" w:name="_Toc91247570"/>
      <w:bookmarkStart w:id="132" w:name="_Toc14142"/>
      <w:bookmarkStart w:id="133" w:name="_Toc6337"/>
      <w:bookmarkStart w:id="134" w:name="_Toc2671"/>
      <w:bookmarkStart w:id="135" w:name="_Toc32072"/>
      <w:bookmarkStart w:id="136" w:name="OLE_LINK25"/>
      <w:r>
        <w:rPr>
          <w:rFonts w:hint="eastAsia" w:cs="宋体"/>
          <w:color w:val="auto"/>
          <w:sz w:val="21"/>
          <w:szCs w:val="21"/>
          <w:highlight w:val="none"/>
        </w:rPr>
        <w:t>2 一般规定</w:t>
      </w:r>
      <w:bookmarkEnd w:id="74"/>
      <w:bookmarkEnd w:id="75"/>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2.1 投标人所提供的设备在质保期内不应出现异常运行状态，如出现异常，应按照异常消除时长进行延保，延保期结束时异常运行状态仍未消除，投标人无条件更换设备。</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2.2设备主要元器件应采用行业内公认一线品牌，工业级产品。</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2.3投标人应具备招标公告所要求的资质，具体资质要求详见招标文件的商务部分。本技术规范中涉及有关商务方面的内容，如与商务部分有矛盾，以商务部分为准。商务部分中涉及技术方面的内容，如与技术部分有矛盾，以技术部分为准。</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2.4 投标人提供的设备本体及其附件应符合招标文件所规定的要求，如有偏差，应专门加以详细描述。</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2.5 本招标文件技术规范将作为订货合同的附件，与合同具有同等的法律效力。本招标文件技术规范未尽事宜，由合同签约双方在合同谈判时协商确定。</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2.6 对投标人的资质要求见商务部分。</w:t>
      </w:r>
    </w:p>
    <w:p>
      <w:pPr>
        <w:pStyle w:val="5"/>
        <w:rPr>
          <w:rFonts w:cs="宋体"/>
          <w:color w:val="auto"/>
          <w:sz w:val="21"/>
          <w:szCs w:val="21"/>
          <w:highlight w:val="none"/>
        </w:rPr>
      </w:pPr>
      <w:bookmarkStart w:id="137" w:name="_Toc2189"/>
      <w:bookmarkStart w:id="138" w:name="_Toc19976"/>
      <w:bookmarkStart w:id="139" w:name="_Toc32114"/>
      <w:bookmarkStart w:id="140" w:name="_Toc2916"/>
      <w:bookmarkStart w:id="141" w:name="_Toc10029"/>
      <w:bookmarkStart w:id="142" w:name="_Toc6807"/>
      <w:bookmarkStart w:id="143" w:name="_Toc4328"/>
      <w:bookmarkStart w:id="144" w:name="_Toc12432"/>
      <w:bookmarkStart w:id="145" w:name="_Toc5145"/>
      <w:bookmarkStart w:id="146" w:name="_Toc9362"/>
      <w:bookmarkStart w:id="147" w:name="_Toc16101"/>
      <w:bookmarkStart w:id="148" w:name="_Toc23941"/>
      <w:bookmarkStart w:id="149" w:name="_Toc169606615"/>
      <w:bookmarkStart w:id="150" w:name="_Toc24620"/>
      <w:bookmarkStart w:id="151" w:name="_Toc155151897"/>
      <w:bookmarkStart w:id="152" w:name="_Toc30491"/>
      <w:bookmarkStart w:id="153" w:name="_Toc25385"/>
      <w:bookmarkStart w:id="154" w:name="_Toc474832139"/>
      <w:bookmarkStart w:id="155" w:name="_Toc566"/>
      <w:bookmarkStart w:id="156" w:name="_Toc26363"/>
      <w:bookmarkStart w:id="157" w:name="_Toc11837"/>
      <w:bookmarkStart w:id="158" w:name="_Toc6449"/>
      <w:bookmarkStart w:id="159" w:name="_Toc29796"/>
      <w:bookmarkStart w:id="160" w:name="_Toc26304"/>
      <w:bookmarkStart w:id="161" w:name="_Toc15846"/>
      <w:bookmarkStart w:id="162" w:name="_Toc30702"/>
      <w:bookmarkStart w:id="163" w:name="_Toc25374"/>
      <w:bookmarkStart w:id="164" w:name="_Toc31133"/>
      <w:bookmarkStart w:id="165" w:name="_Toc16506"/>
      <w:bookmarkStart w:id="166" w:name="_Toc26606"/>
      <w:bookmarkStart w:id="167" w:name="_Toc19084"/>
      <w:bookmarkStart w:id="168" w:name="_Toc17209"/>
      <w:bookmarkStart w:id="169" w:name="_Toc91247571"/>
      <w:bookmarkStart w:id="170" w:name="_Toc28811"/>
      <w:bookmarkStart w:id="171" w:name="_Toc9092"/>
      <w:bookmarkStart w:id="172" w:name="_Toc12039"/>
      <w:r>
        <w:rPr>
          <w:rFonts w:hint="eastAsia" w:cs="宋体"/>
          <w:color w:val="auto"/>
          <w:sz w:val="21"/>
          <w:szCs w:val="21"/>
          <w:highlight w:val="none"/>
        </w:rPr>
        <w:t>3 工作范围和进度要求</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3.1本招标文件仅适用于技术规范专用部分货物需求一览表中所列的设备。其中，包括设备本体及其附件的功能设计、结构、性能、安装和试验等方面的技术要求，以及供货和现场技术服务。</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3.2技术协议签订后，投标方应在1周内，向招标方提交一份详尽的生产进度计划表。如生产进度有延误，投标方应及时将延误的原因、产生的影响及准备采取的补救措施等向招标方加以解释，并尽可能保证交货的进度。否则应及时向招标方通报，以便招标方能采取必要的应对延迟交货的措施。</w:t>
      </w:r>
    </w:p>
    <w:p>
      <w:pPr>
        <w:pStyle w:val="5"/>
        <w:rPr>
          <w:rFonts w:cs="宋体"/>
          <w:color w:val="auto"/>
          <w:sz w:val="21"/>
          <w:szCs w:val="21"/>
          <w:highlight w:val="none"/>
        </w:rPr>
      </w:pPr>
      <w:bookmarkStart w:id="173" w:name="_Toc169606616"/>
      <w:bookmarkStart w:id="174" w:name="_Toc25518"/>
      <w:bookmarkStart w:id="175" w:name="_Toc14672"/>
      <w:bookmarkStart w:id="176" w:name="_Toc20652"/>
      <w:bookmarkStart w:id="177" w:name="_Toc1730"/>
      <w:bookmarkStart w:id="178" w:name="_Toc6458"/>
      <w:bookmarkStart w:id="179" w:name="_Toc2529"/>
      <w:bookmarkStart w:id="180" w:name="_Toc8409"/>
      <w:bookmarkStart w:id="181" w:name="_Toc22521"/>
      <w:bookmarkStart w:id="182" w:name="_Toc155151898"/>
      <w:bookmarkStart w:id="183" w:name="_Toc15756"/>
      <w:bookmarkStart w:id="184" w:name="_Toc12836"/>
      <w:bookmarkStart w:id="185" w:name="_Toc30250"/>
      <w:bookmarkStart w:id="186" w:name="_Toc22197"/>
      <w:bookmarkStart w:id="187" w:name="_Toc23505"/>
      <w:bookmarkStart w:id="188" w:name="_Toc1367"/>
      <w:bookmarkStart w:id="189" w:name="_Toc474832140"/>
      <w:bookmarkStart w:id="190" w:name="_Toc24804"/>
      <w:bookmarkStart w:id="191" w:name="_Toc29960"/>
      <w:bookmarkStart w:id="192" w:name="_Toc911"/>
      <w:bookmarkStart w:id="193" w:name="_Toc5659"/>
      <w:bookmarkStart w:id="194" w:name="_Toc24163"/>
      <w:bookmarkStart w:id="195" w:name="_Toc19483"/>
      <w:bookmarkStart w:id="196" w:name="_Toc13269"/>
      <w:bookmarkStart w:id="197" w:name="_Toc91247572"/>
      <w:bookmarkStart w:id="198" w:name="_Toc6956"/>
      <w:bookmarkStart w:id="199" w:name="_Toc16289"/>
      <w:bookmarkStart w:id="200" w:name="_Toc7562"/>
      <w:bookmarkStart w:id="201" w:name="_Toc8511"/>
      <w:bookmarkStart w:id="202" w:name="_Toc8755"/>
      <w:bookmarkStart w:id="203" w:name="_Toc15046"/>
      <w:bookmarkStart w:id="204" w:name="_Toc8699"/>
      <w:bookmarkStart w:id="205" w:name="_Toc21155"/>
      <w:bookmarkStart w:id="206" w:name="_Toc17878"/>
      <w:bookmarkStart w:id="207" w:name="_Toc9353"/>
      <w:bookmarkStart w:id="208" w:name="_Toc12986"/>
      <w:r>
        <w:rPr>
          <w:rFonts w:hint="eastAsia" w:cs="宋体"/>
          <w:color w:val="auto"/>
          <w:sz w:val="21"/>
          <w:szCs w:val="21"/>
          <w:highlight w:val="none"/>
        </w:rPr>
        <w:t>4 对设计图纸、说明书和试验报告的要求</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4.1图纸及图纸的认可和交付</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4.2所有需经招标方确认的图纸和说明文件，均应由投标方在技术协议签订后的1周内提交给招标方进行审定认可。招标方审定时有权提出修改意见。在未经招标方对图纸做最后认可前，投标方任何采购或加工所造成的材料损失应由投标方单独承担。</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4.3投标方在收到招标方确认图纸（包括认可方修正意见）后，经修改应于1周内有关单位提供最终版的正式图纸和一套供复制用的底图及正式的CAD2004文件电子版，正式图纸必须加盖生产厂家公章和签字。</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4.4图纸的格式：所有图纸均应有标题栏、全部符号和部件标志、文字均用中文书写，并使用SI国际单位制。</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投标方应免费提供给招标方全部最终版的图纸、资料及说明书。其中图纸应包括总装配图及安装时设备位置的精确布置图，并且应保证招标方可按最终版的图纸资料对所供设备进行维护，并在运行中便于进行更换零部件等工作。</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4.5 试验报告</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4.5.1投标方应提供全部试验报告，包括例行、型式和特殊试验报告。</w:t>
      </w:r>
    </w:p>
    <w:bookmarkEnd w:id="1"/>
    <w:bookmarkEnd w:id="2"/>
    <w:bookmarkEnd w:id="3"/>
    <w:bookmarkEnd w:id="4"/>
    <w:bookmarkEnd w:id="5"/>
    <w:bookmarkEnd w:id="6"/>
    <w:bookmarkEnd w:id="76"/>
    <w:bookmarkEnd w:id="77"/>
    <w:p>
      <w:pPr>
        <w:pStyle w:val="5"/>
        <w:rPr>
          <w:rFonts w:cs="宋体"/>
          <w:color w:val="auto"/>
          <w:sz w:val="21"/>
          <w:szCs w:val="21"/>
          <w:highlight w:val="none"/>
        </w:rPr>
      </w:pPr>
      <w:bookmarkStart w:id="209" w:name="_Toc24063"/>
      <w:bookmarkStart w:id="210" w:name="_Toc5008"/>
      <w:bookmarkStart w:id="211" w:name="_Toc163612838"/>
      <w:bookmarkStart w:id="212" w:name="_Toc26796"/>
      <w:bookmarkStart w:id="213" w:name="_Toc14482"/>
      <w:bookmarkStart w:id="214" w:name="_Toc28758"/>
      <w:bookmarkStart w:id="215" w:name="_Toc7930"/>
      <w:bookmarkStart w:id="216" w:name="_Toc17"/>
      <w:bookmarkStart w:id="217" w:name="_Toc5864"/>
      <w:bookmarkStart w:id="218" w:name="_Toc22201"/>
      <w:bookmarkStart w:id="219" w:name="_Toc474832141"/>
      <w:bookmarkStart w:id="220" w:name="_Toc6077"/>
      <w:bookmarkStart w:id="221" w:name="_Toc91247573"/>
      <w:bookmarkStart w:id="222" w:name="_Toc32706"/>
      <w:bookmarkStart w:id="223" w:name="_Toc19453"/>
      <w:bookmarkStart w:id="224" w:name="_Toc13916"/>
      <w:bookmarkStart w:id="225" w:name="_Toc31116"/>
      <w:bookmarkStart w:id="226" w:name="_Toc18635"/>
      <w:bookmarkStart w:id="227" w:name="_Toc16755"/>
      <w:bookmarkStart w:id="228" w:name="_Toc29034"/>
      <w:bookmarkStart w:id="229" w:name="_Toc16195"/>
      <w:bookmarkStart w:id="230" w:name="_Toc4966"/>
      <w:bookmarkStart w:id="231" w:name="_Toc19083"/>
      <w:bookmarkStart w:id="232" w:name="_Toc25560"/>
      <w:bookmarkStart w:id="233" w:name="_Toc1923"/>
      <w:bookmarkStart w:id="234" w:name="_Toc3378"/>
      <w:bookmarkStart w:id="235" w:name="_Toc17907"/>
      <w:bookmarkStart w:id="236" w:name="_Toc5511"/>
      <w:bookmarkStart w:id="237" w:name="_Toc9574"/>
      <w:bookmarkStart w:id="238" w:name="_Toc6681"/>
      <w:bookmarkStart w:id="239" w:name="_Toc26936"/>
      <w:bookmarkStart w:id="240" w:name="_Toc9955"/>
      <w:bookmarkStart w:id="241" w:name="_Toc22087"/>
      <w:bookmarkStart w:id="242" w:name="_Toc14320"/>
      <w:bookmarkStart w:id="243" w:name="_Toc509632991"/>
      <w:bookmarkStart w:id="244" w:name="_Toc500906677"/>
      <w:bookmarkStart w:id="245" w:name="_Toc502332488"/>
      <w:bookmarkStart w:id="246" w:name="_Toc502331793"/>
      <w:bookmarkStart w:id="247" w:name="_Toc509632879"/>
      <w:r>
        <w:rPr>
          <w:rFonts w:hint="eastAsia" w:cs="宋体"/>
          <w:color w:val="auto"/>
          <w:sz w:val="21"/>
          <w:szCs w:val="21"/>
          <w:highlight w:val="none"/>
        </w:rPr>
        <w:t>5 备品备件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pPr>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5.1 投标方应供安装时必需的备品备件，费用应包括在投标总价中。</w:t>
      </w:r>
    </w:p>
    <w:p>
      <w:pPr>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5.2 招标方根据需要提出备品备件，投标方应按项目分项报价，备品备件价格应含在投标总价中。</w:t>
      </w:r>
    </w:p>
    <w:p>
      <w:pPr>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5.3 投标方应推荐能使用的备品备件，并分别列出其单价和总价供招标方选购。</w:t>
      </w:r>
    </w:p>
    <w:p>
      <w:pPr>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5.4 所有备品备件应为全新产品,与已经安装设备的相应部件能够互换,具有相同的规格材质和制造工艺。</w:t>
      </w:r>
    </w:p>
    <w:p>
      <w:pPr>
        <w:tabs>
          <w:tab w:val="left" w:pos="0"/>
        </w:tabs>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5.5 所有备品备件应单独包装装在箱内，采取防尘、防潮、防止损坏等措施后与主设备一并发运，并标注“备品备件”以区别本体。</w:t>
      </w:r>
    </w:p>
    <w:p>
      <w:pPr>
        <w:tabs>
          <w:tab w:val="left" w:pos="0"/>
        </w:tabs>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5.6 在设备投产后三年内，以不超过备品备件的投标单价提供备品备件，其他以商务部分约定为准。</w:t>
      </w:r>
    </w:p>
    <w:p>
      <w:pPr>
        <w:pStyle w:val="5"/>
        <w:rPr>
          <w:rFonts w:cs="宋体"/>
          <w:color w:val="auto"/>
          <w:sz w:val="21"/>
          <w:szCs w:val="21"/>
          <w:highlight w:val="none"/>
        </w:rPr>
      </w:pPr>
      <w:bookmarkStart w:id="248" w:name="_Toc23182"/>
      <w:bookmarkStart w:id="249" w:name="_Toc30426"/>
      <w:bookmarkStart w:id="250" w:name="_Toc474832142"/>
      <w:bookmarkStart w:id="251" w:name="_Toc18362"/>
      <w:bookmarkStart w:id="252" w:name="_Toc14506"/>
      <w:bookmarkStart w:id="253" w:name="_Toc26923"/>
      <w:bookmarkStart w:id="254" w:name="_Toc9508"/>
      <w:bookmarkStart w:id="255" w:name="_Toc30861"/>
      <w:bookmarkStart w:id="256" w:name="_Toc18094"/>
      <w:bookmarkStart w:id="257" w:name="_Toc29609"/>
      <w:bookmarkStart w:id="258" w:name="_Toc13026"/>
      <w:bookmarkStart w:id="259" w:name="_Toc21542"/>
      <w:bookmarkStart w:id="260" w:name="_Toc1151"/>
      <w:bookmarkStart w:id="261" w:name="_Toc29631"/>
      <w:bookmarkStart w:id="262" w:name="_Toc23461"/>
      <w:bookmarkStart w:id="263" w:name="_Toc4868"/>
      <w:bookmarkStart w:id="264" w:name="_Toc163612839"/>
      <w:bookmarkStart w:id="265" w:name="_Toc25279"/>
      <w:bookmarkStart w:id="266" w:name="_Toc8718"/>
      <w:bookmarkStart w:id="267" w:name="_Toc2560"/>
      <w:bookmarkStart w:id="268" w:name="_Toc6812"/>
      <w:bookmarkStart w:id="269" w:name="_Toc91247574"/>
      <w:bookmarkStart w:id="270" w:name="_Toc24106"/>
      <w:bookmarkStart w:id="271" w:name="_Toc3208"/>
      <w:bookmarkStart w:id="272" w:name="_Toc5227"/>
      <w:bookmarkStart w:id="273" w:name="_Toc11574"/>
      <w:bookmarkStart w:id="274" w:name="_Toc7313"/>
      <w:bookmarkStart w:id="275" w:name="_Toc11328"/>
      <w:bookmarkStart w:id="276" w:name="_Toc2961"/>
      <w:bookmarkStart w:id="277" w:name="_Toc2738"/>
      <w:bookmarkStart w:id="278" w:name="_Toc6512"/>
      <w:bookmarkStart w:id="279" w:name="_Toc30976"/>
      <w:bookmarkStart w:id="280" w:name="_Toc6384"/>
      <w:bookmarkStart w:id="281" w:name="_Toc10860"/>
      <w:r>
        <w:rPr>
          <w:rFonts w:hint="eastAsia" w:cs="宋体"/>
          <w:color w:val="auto"/>
          <w:sz w:val="21"/>
          <w:szCs w:val="21"/>
          <w:highlight w:val="none"/>
        </w:rPr>
        <w:t>6 专用工具与仪器仪表</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tabs>
          <w:tab w:val="left" w:pos="0"/>
        </w:tabs>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6.1 投标方提供安装时必需的专用工具和仪器仪表，费用应包括在投标总价中。</w:t>
      </w:r>
    </w:p>
    <w:p>
      <w:pPr>
        <w:tabs>
          <w:tab w:val="left" w:pos="0"/>
        </w:tabs>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6.2 招标方根据需要提出的专用工具和仪器仪表放入第二部相应表中，投标方应分项列出其单价和总价，价款包含在投标总价中。</w:t>
      </w:r>
    </w:p>
    <w:p>
      <w:pPr>
        <w:tabs>
          <w:tab w:val="left" w:pos="0"/>
        </w:tabs>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6.3 投标方应推荐能使用的专用工具和仪器仪表，并分别列出其单价和总价，供招标方选购。</w:t>
      </w:r>
    </w:p>
    <w:p>
      <w:pPr>
        <w:tabs>
          <w:tab w:val="left" w:pos="0"/>
        </w:tabs>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6.4 所有专用工具与仪器仪表必须是全新的、先进的且须附详细使用说明资料。</w:t>
      </w:r>
    </w:p>
    <w:p>
      <w:pPr>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6.5 专用工具与仪器仪表应单独包装装于箱内，注明“专用工具”“仪器仪表”，并标明防潮、防尘、易碎、向上、勿倒置等字，同主设备一并发运。</w:t>
      </w:r>
    </w:p>
    <w:p>
      <w:pPr>
        <w:pStyle w:val="5"/>
        <w:rPr>
          <w:rFonts w:cs="宋体"/>
          <w:color w:val="auto"/>
          <w:sz w:val="21"/>
          <w:szCs w:val="21"/>
          <w:highlight w:val="none"/>
        </w:rPr>
      </w:pPr>
      <w:bookmarkStart w:id="282" w:name="_Toc22250"/>
      <w:bookmarkStart w:id="283" w:name="_Toc474832143"/>
      <w:bookmarkStart w:id="284" w:name="_Toc25738"/>
      <w:bookmarkStart w:id="285" w:name="_Toc16414"/>
      <w:bookmarkStart w:id="286" w:name="_Toc25309"/>
      <w:bookmarkStart w:id="287" w:name="_Toc4190"/>
      <w:bookmarkStart w:id="288" w:name="_Toc24897"/>
      <w:bookmarkStart w:id="289" w:name="_Toc21714"/>
      <w:bookmarkStart w:id="290" w:name="_Toc16611"/>
      <w:bookmarkStart w:id="291" w:name="_Toc1795"/>
      <w:bookmarkStart w:id="292" w:name="_Toc15412"/>
      <w:bookmarkStart w:id="293" w:name="_Toc18901"/>
      <w:bookmarkStart w:id="294" w:name="_Toc19165"/>
      <w:bookmarkStart w:id="295" w:name="_Toc3131"/>
      <w:bookmarkStart w:id="296" w:name="_Toc24978"/>
      <w:bookmarkStart w:id="297" w:name="_Toc1210"/>
      <w:bookmarkStart w:id="298" w:name="_Toc12700"/>
      <w:bookmarkStart w:id="299" w:name="_Toc19206"/>
      <w:bookmarkStart w:id="300" w:name="_Toc24449"/>
      <w:bookmarkStart w:id="301" w:name="_Toc28603"/>
      <w:bookmarkStart w:id="302" w:name="_Toc30241"/>
      <w:bookmarkStart w:id="303" w:name="_Toc26240"/>
      <w:bookmarkStart w:id="304" w:name="_Toc8866"/>
      <w:bookmarkStart w:id="305" w:name="_Toc9108"/>
      <w:bookmarkStart w:id="306" w:name="_Toc163612840"/>
      <w:bookmarkStart w:id="307" w:name="_Toc26733"/>
      <w:bookmarkStart w:id="308" w:name="_Toc15686"/>
      <w:bookmarkStart w:id="309" w:name="_Toc91247575"/>
      <w:bookmarkStart w:id="310" w:name="_Toc31959"/>
      <w:bookmarkStart w:id="311" w:name="_Toc23159"/>
      <w:bookmarkStart w:id="312" w:name="_Toc6397"/>
      <w:bookmarkStart w:id="313" w:name="_Toc32372"/>
      <w:bookmarkStart w:id="314" w:name="_Toc11444"/>
      <w:bookmarkStart w:id="315" w:name="_Toc2620"/>
      <w:r>
        <w:rPr>
          <w:rFonts w:hint="eastAsia" w:cs="宋体"/>
          <w:color w:val="auto"/>
          <w:sz w:val="21"/>
          <w:szCs w:val="21"/>
          <w:highlight w:val="none"/>
        </w:rPr>
        <w:t>7 安装、调试、性能试验、试运行和验收</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pPr>
        <w:tabs>
          <w:tab w:val="left" w:pos="0"/>
        </w:tabs>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7.1合同设备的安装、调试由招标方根据投标方提供的技术文件和说明书的规定在投标方技术人员指导下进行。</w:t>
      </w:r>
    </w:p>
    <w:p>
      <w:pPr>
        <w:tabs>
          <w:tab w:val="left" w:pos="0"/>
        </w:tabs>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7.2合同设备的性能试验、试运行和验收根据本规范书规定的标准、规程规范进行。</w:t>
      </w:r>
    </w:p>
    <w:p>
      <w:pPr>
        <w:tabs>
          <w:tab w:val="left" w:pos="0"/>
        </w:tabs>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7.3完成合同设备安装后，买方和投标方应检查和确认安装工作，并签署安装工作证明书，共两份、双方各执一份。</w:t>
      </w:r>
    </w:p>
    <w:p>
      <w:pPr>
        <w:tabs>
          <w:tab w:val="left" w:pos="0"/>
        </w:tabs>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7.4验收时间为安装、调试、性能试验和试运行完成后三个月内。在此期间，如果所有的合同设备都已达到各项技术指标，并稳定运行240小时，买卖双方应签署合同设备的验收证明书，该证明书共两份、双方各执一份</w:t>
      </w:r>
      <w:bookmarkEnd w:id="78"/>
      <w:r>
        <w:rPr>
          <w:rFonts w:hint="eastAsia" w:ascii="宋体" w:hAnsi="宋体" w:cs="宋体"/>
          <w:color w:val="auto"/>
          <w:sz w:val="21"/>
          <w:szCs w:val="21"/>
          <w:highlight w:val="none"/>
        </w:rPr>
        <w:t>。</w:t>
      </w:r>
    </w:p>
    <w:bookmarkEnd w:id="7"/>
    <w:bookmarkEnd w:id="8"/>
    <w:bookmarkEnd w:id="243"/>
    <w:bookmarkEnd w:id="244"/>
    <w:bookmarkEnd w:id="245"/>
    <w:bookmarkEnd w:id="246"/>
    <w:bookmarkEnd w:id="247"/>
    <w:p>
      <w:pPr>
        <w:pStyle w:val="5"/>
        <w:rPr>
          <w:rFonts w:cs="宋体"/>
          <w:color w:val="auto"/>
          <w:sz w:val="21"/>
          <w:szCs w:val="21"/>
          <w:highlight w:val="none"/>
        </w:rPr>
      </w:pPr>
      <w:bookmarkStart w:id="316" w:name="_Toc5896"/>
      <w:bookmarkStart w:id="317" w:name="_Toc11108"/>
      <w:bookmarkStart w:id="318" w:name="_Toc32172"/>
      <w:bookmarkStart w:id="319" w:name="_Toc2551"/>
      <w:bookmarkStart w:id="320" w:name="_Toc32019"/>
      <w:bookmarkStart w:id="321" w:name="_Toc18515"/>
      <w:bookmarkStart w:id="322" w:name="_Toc20805"/>
      <w:bookmarkStart w:id="323" w:name="_Toc1580"/>
      <w:bookmarkStart w:id="324" w:name="_Toc16808"/>
      <w:bookmarkStart w:id="325" w:name="_Toc3741"/>
      <w:bookmarkStart w:id="326" w:name="_Toc11433"/>
      <w:bookmarkStart w:id="327" w:name="_Toc13692"/>
      <w:bookmarkStart w:id="328" w:name="_Toc12676"/>
      <w:bookmarkStart w:id="329" w:name="_Toc8498"/>
      <w:bookmarkStart w:id="330" w:name="_Toc20998"/>
      <w:bookmarkStart w:id="331" w:name="_Toc474832144"/>
      <w:bookmarkStart w:id="332" w:name="_Toc32629"/>
      <w:bookmarkStart w:id="333" w:name="_Toc17719"/>
      <w:bookmarkStart w:id="334" w:name="_Toc91247576"/>
      <w:bookmarkStart w:id="335" w:name="_Toc25242"/>
      <w:bookmarkStart w:id="336" w:name="_Toc18825"/>
      <w:bookmarkStart w:id="337" w:name="_Toc6896"/>
      <w:bookmarkStart w:id="338" w:name="_Toc32725"/>
      <w:bookmarkStart w:id="339" w:name="_Toc3270"/>
      <w:bookmarkStart w:id="340" w:name="_Toc2758"/>
      <w:bookmarkStart w:id="341" w:name="_Toc1006"/>
      <w:bookmarkStart w:id="342" w:name="_Toc18238"/>
      <w:bookmarkStart w:id="343" w:name="_Toc20876"/>
      <w:bookmarkStart w:id="344" w:name="_Toc4089"/>
      <w:bookmarkStart w:id="345" w:name="_Toc9165"/>
      <w:bookmarkStart w:id="346" w:name="_Toc14020"/>
      <w:bookmarkStart w:id="347" w:name="_Toc10800"/>
      <w:bookmarkStart w:id="348" w:name="_Toc13242"/>
      <w:bookmarkStart w:id="349" w:name="_Toc18646"/>
      <w:bookmarkStart w:id="350" w:name="_Toc501726267"/>
      <w:bookmarkStart w:id="351" w:name="_Toc487358389"/>
      <w:bookmarkStart w:id="352" w:name="_Toc509632883"/>
      <w:bookmarkStart w:id="353" w:name="_Toc509576594"/>
      <w:bookmarkStart w:id="354" w:name="_Toc311451306"/>
      <w:bookmarkStart w:id="355" w:name="_Toc162457034"/>
      <w:bookmarkStart w:id="356" w:name="_Toc502331797"/>
      <w:bookmarkStart w:id="357" w:name="_Toc502332492"/>
      <w:bookmarkStart w:id="358" w:name="_Toc509632995"/>
      <w:bookmarkStart w:id="359" w:name="_Toc487356731"/>
      <w:bookmarkStart w:id="360" w:name="_Toc249601748"/>
      <w:r>
        <w:rPr>
          <w:rFonts w:hint="eastAsia" w:cs="宋体"/>
          <w:color w:val="auto"/>
          <w:sz w:val="21"/>
          <w:szCs w:val="21"/>
          <w:highlight w:val="none"/>
        </w:rPr>
        <w:t>8 标准和规范</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bookmarkEnd w:id="136"/>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8.1合同设备包括投标方向其他厂商购买的所有附件和设备，所有设备都应符合相应的标准、规范或法规的最新版本或其修正本的要求，除非另有特别外。标准有冲突时，按现行较高标准执行。</w:t>
      </w:r>
    </w:p>
    <w:p>
      <w:pPr>
        <w:topLinePunct/>
        <w:ind w:firstLine="420" w:firstLineChars="200"/>
        <w:rPr>
          <w:rFonts w:ascii="宋体" w:hAnsi="宋体" w:cs="宋体"/>
          <w:color w:val="auto"/>
          <w:sz w:val="21"/>
          <w:szCs w:val="21"/>
          <w:highlight w:val="none"/>
        </w:rPr>
      </w:pPr>
      <w:r>
        <w:rPr>
          <w:rFonts w:hint="eastAsia" w:ascii="宋体" w:hAnsi="宋体" w:cs="宋体"/>
          <w:bCs/>
          <w:color w:val="auto"/>
          <w:sz w:val="21"/>
          <w:szCs w:val="21"/>
          <w:highlight w:val="none"/>
        </w:rPr>
        <w:t>8.2投标方提供的设备和配套件要符合以下标准但不局限于以下标准：</w:t>
      </w:r>
    </w:p>
    <w:p>
      <w:pPr>
        <w:tabs>
          <w:tab w:val="left" w:pos="0"/>
        </w:tabs>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标准的使用等级顺序如下：</w:t>
      </w:r>
    </w:p>
    <w:p>
      <w:pPr>
        <w:tabs>
          <w:tab w:val="left" w:pos="0"/>
        </w:tabs>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IEC</w:t>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国际电工技术委员会标准</w:t>
      </w:r>
    </w:p>
    <w:p>
      <w:pPr>
        <w:tabs>
          <w:tab w:val="left" w:pos="0"/>
        </w:tabs>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ISO</w:t>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国际标准化协会标准</w:t>
      </w:r>
    </w:p>
    <w:p>
      <w:pPr>
        <w:tabs>
          <w:tab w:val="left" w:pos="0"/>
        </w:tabs>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GL</w:t>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德国劳埃德</w:t>
      </w:r>
    </w:p>
    <w:p>
      <w:pPr>
        <w:tabs>
          <w:tab w:val="left" w:pos="0"/>
        </w:tabs>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IEA</w:t>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国际能量所</w:t>
      </w:r>
    </w:p>
    <w:p>
      <w:pPr>
        <w:tabs>
          <w:tab w:val="left" w:pos="0"/>
        </w:tabs>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DIN-VDE</w:t>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德国标准化协会电气委员会标准</w:t>
      </w:r>
    </w:p>
    <w:p>
      <w:pPr>
        <w:tabs>
          <w:tab w:val="left" w:pos="0"/>
        </w:tabs>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CEE</w:t>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电气设备验收规则国际委员会</w:t>
      </w:r>
    </w:p>
    <w:p>
      <w:pPr>
        <w:tabs>
          <w:tab w:val="left" w:pos="0"/>
        </w:tabs>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EC</w:t>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欧洲标准</w:t>
      </w:r>
    </w:p>
    <w:p>
      <w:pPr>
        <w:tabs>
          <w:tab w:val="left" w:pos="0"/>
        </w:tabs>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ANSI</w:t>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美国国家标准协会</w:t>
      </w:r>
    </w:p>
    <w:p>
      <w:pPr>
        <w:tabs>
          <w:tab w:val="left" w:pos="0"/>
        </w:tabs>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GB</w:t>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中国国家标准</w:t>
      </w:r>
    </w:p>
    <w:p>
      <w:pPr>
        <w:tabs>
          <w:tab w:val="left" w:pos="0"/>
        </w:tabs>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DL</w:t>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中国电力行业标准</w:t>
      </w:r>
    </w:p>
    <w:p>
      <w:pPr>
        <w:keepNext/>
        <w:keepLines/>
        <w:adjustRightInd w:val="0"/>
        <w:spacing w:before="120" w:after="120"/>
        <w:textAlignment w:val="baseline"/>
        <w:outlineLvl w:val="1"/>
        <w:rPr>
          <w:rFonts w:ascii="宋体" w:hAnsi="宋体" w:cs="宋体"/>
          <w:b/>
          <w:color w:val="auto"/>
          <w:kern w:val="44"/>
          <w:sz w:val="21"/>
          <w:szCs w:val="21"/>
          <w:highlight w:val="none"/>
        </w:rPr>
      </w:pPr>
      <w:bookmarkStart w:id="361" w:name="_Toc91247577"/>
      <w:bookmarkStart w:id="362" w:name="_Toc69389910"/>
      <w:bookmarkStart w:id="363" w:name="_Toc69326869"/>
      <w:bookmarkStart w:id="364" w:name="_Toc69326713"/>
      <w:r>
        <w:rPr>
          <w:rFonts w:hint="eastAsia" w:ascii="宋体" w:hAnsi="宋体" w:cs="宋体"/>
          <w:b/>
          <w:color w:val="auto"/>
          <w:kern w:val="44"/>
          <w:sz w:val="21"/>
          <w:szCs w:val="21"/>
          <w:highlight w:val="none"/>
        </w:rPr>
        <w:t>9</w:t>
      </w:r>
      <w:r>
        <w:rPr>
          <w:rFonts w:ascii="宋体" w:hAnsi="宋体" w:cs="宋体"/>
          <w:b/>
          <w:color w:val="auto"/>
          <w:kern w:val="44"/>
          <w:sz w:val="21"/>
          <w:szCs w:val="21"/>
          <w:highlight w:val="none"/>
        </w:rPr>
        <w:t xml:space="preserve"> </w:t>
      </w:r>
      <w:r>
        <w:rPr>
          <w:rFonts w:hint="eastAsia" w:ascii="宋体" w:hAnsi="宋体" w:cs="宋体"/>
          <w:b/>
          <w:color w:val="auto"/>
          <w:kern w:val="44"/>
          <w:sz w:val="21"/>
          <w:szCs w:val="21"/>
          <w:highlight w:val="none"/>
        </w:rPr>
        <w:t>包装、运输</w:t>
      </w:r>
      <w:bookmarkEnd w:id="361"/>
      <w:bookmarkEnd w:id="362"/>
      <w:bookmarkEnd w:id="363"/>
      <w:bookmarkEnd w:id="364"/>
    </w:p>
    <w:p>
      <w:pPr>
        <w:tabs>
          <w:tab w:val="left" w:pos="0"/>
        </w:tabs>
        <w:jc w:val="left"/>
        <w:rPr>
          <w:rFonts w:ascii="宋体" w:hAnsi="宋体" w:cs="宋体"/>
          <w:color w:val="auto"/>
          <w:sz w:val="21"/>
          <w:szCs w:val="21"/>
          <w:highlight w:val="none"/>
        </w:rPr>
      </w:pPr>
      <w:r>
        <w:rPr>
          <w:rFonts w:hint="eastAsia" w:ascii="宋体" w:hAnsi="宋体" w:cs="宋体"/>
          <w:color w:val="auto"/>
          <w:sz w:val="21"/>
          <w:szCs w:val="21"/>
          <w:highlight w:val="none"/>
        </w:rPr>
        <w:t>9.1投标方交付的所有货物要符合国家主管机关的规定，具有适合长途运输和装卸的坚固包装。包装应保证在运输、装卸过程中完好无损，并有减振、防冲击及防磨损措施。</w:t>
      </w:r>
    </w:p>
    <w:p>
      <w:pPr>
        <w:tabs>
          <w:tab w:val="left" w:pos="0"/>
        </w:tabs>
        <w:jc w:val="left"/>
        <w:rPr>
          <w:rFonts w:ascii="宋体" w:hAnsi="宋体" w:cs="宋体"/>
          <w:color w:val="auto"/>
          <w:sz w:val="21"/>
          <w:szCs w:val="21"/>
          <w:highlight w:val="none"/>
        </w:rPr>
      </w:pPr>
      <w:r>
        <w:rPr>
          <w:rFonts w:hint="eastAsia" w:ascii="宋体" w:hAnsi="宋体" w:cs="宋体"/>
          <w:color w:val="auto"/>
          <w:sz w:val="21"/>
          <w:szCs w:val="21"/>
          <w:highlight w:val="none"/>
        </w:rPr>
        <w:t>9.2对裸装货物应在金属标签上注明上述有关内容。并要带有足够的货物支架或包装垫木。</w:t>
      </w:r>
    </w:p>
    <w:p>
      <w:pPr>
        <w:tabs>
          <w:tab w:val="left" w:pos="0"/>
        </w:tabs>
        <w:jc w:val="left"/>
        <w:rPr>
          <w:rFonts w:ascii="宋体" w:hAnsi="宋体" w:cs="宋体"/>
          <w:color w:val="auto"/>
          <w:sz w:val="21"/>
          <w:szCs w:val="21"/>
          <w:highlight w:val="none"/>
        </w:rPr>
      </w:pPr>
      <w:r>
        <w:rPr>
          <w:rFonts w:hint="eastAsia" w:ascii="宋体" w:hAnsi="宋体" w:cs="宋体"/>
          <w:color w:val="auto"/>
          <w:sz w:val="21"/>
          <w:szCs w:val="21"/>
          <w:highlight w:val="none"/>
        </w:rPr>
        <w:t>9.3每件包装箱内，应附有包括：名称、数量的详细装箱单、合格证。包装箱内应有产品出厂质量合格证明书、用户说明书各一份。</w:t>
      </w:r>
    </w:p>
    <w:p>
      <w:pPr>
        <w:tabs>
          <w:tab w:val="left" w:pos="0"/>
        </w:tabs>
        <w:jc w:val="left"/>
        <w:rPr>
          <w:rFonts w:ascii="宋体" w:hAnsi="宋体" w:cs="宋体"/>
          <w:color w:val="auto"/>
          <w:sz w:val="21"/>
          <w:szCs w:val="21"/>
          <w:highlight w:val="none"/>
        </w:rPr>
      </w:pPr>
      <w:r>
        <w:rPr>
          <w:rFonts w:hint="eastAsia" w:ascii="宋体" w:hAnsi="宋体" w:cs="宋体"/>
          <w:color w:val="auto"/>
          <w:sz w:val="21"/>
          <w:szCs w:val="21"/>
          <w:highlight w:val="none"/>
        </w:rPr>
        <w:t>9.4专用工具（如有）分别包装并按上述内容。</w:t>
      </w:r>
    </w:p>
    <w:p>
      <w:pPr>
        <w:tabs>
          <w:tab w:val="left" w:pos="0"/>
        </w:tabs>
        <w:jc w:val="left"/>
        <w:rPr>
          <w:rFonts w:ascii="宋体" w:hAnsi="宋体" w:cs="宋体"/>
          <w:color w:val="auto"/>
          <w:sz w:val="21"/>
          <w:szCs w:val="21"/>
          <w:highlight w:val="none"/>
        </w:rPr>
      </w:pPr>
      <w:r>
        <w:rPr>
          <w:rFonts w:hint="eastAsia" w:ascii="宋体" w:hAnsi="宋体" w:cs="宋体"/>
          <w:color w:val="auto"/>
          <w:sz w:val="21"/>
          <w:szCs w:val="21"/>
          <w:highlight w:val="none"/>
        </w:rPr>
        <w:t>9.5各设备的松散零星部件应采用良好包装方式，装入尺寸适当的箱内。随整车发送。</w:t>
      </w:r>
    </w:p>
    <w:p>
      <w:pPr>
        <w:tabs>
          <w:tab w:val="left" w:pos="0"/>
        </w:tabs>
        <w:ind w:firstLine="420" w:firstLineChars="200"/>
        <w:jc w:val="left"/>
        <w:rPr>
          <w:rFonts w:ascii="宋体" w:hAnsi="宋体" w:cs="宋体"/>
          <w:color w:val="auto"/>
          <w:sz w:val="21"/>
          <w:szCs w:val="21"/>
          <w:highlight w:val="none"/>
        </w:rPr>
      </w:pPr>
    </w:p>
    <w:p>
      <w:pPr>
        <w:rPr>
          <w:rFonts w:ascii="宋体" w:hAnsi="宋体" w:cs="宋体"/>
          <w:color w:val="auto"/>
          <w:sz w:val="21"/>
          <w:szCs w:val="21"/>
          <w:highlight w:val="none"/>
        </w:rPr>
        <w:sectPr>
          <w:headerReference r:id="rId4" w:type="default"/>
          <w:footerReference r:id="rId5" w:type="default"/>
          <w:pgSz w:w="11907" w:h="16840"/>
          <w:pgMar w:top="1440" w:right="1797" w:bottom="1440" w:left="1797" w:header="851" w:footer="992" w:gutter="0"/>
          <w:pgNumType w:start="1"/>
          <w:cols w:space="720" w:num="1"/>
          <w:docGrid w:linePitch="380" w:charSpace="0"/>
        </w:sectPr>
      </w:pPr>
    </w:p>
    <w:p>
      <w:pPr>
        <w:pStyle w:val="4"/>
        <w:ind w:firstLine="422" w:firstLineChars="200"/>
        <w:jc w:val="center"/>
        <w:rPr>
          <w:rFonts w:cs="宋体"/>
          <w:color w:val="auto"/>
          <w:kern w:val="2"/>
          <w:sz w:val="21"/>
          <w:szCs w:val="21"/>
          <w:highlight w:val="none"/>
        </w:rPr>
      </w:pPr>
      <w:bookmarkStart w:id="365" w:name="_Toc91247578"/>
      <w:bookmarkStart w:id="366" w:name="_Toc13970"/>
      <w:bookmarkStart w:id="367" w:name="_Toc25158"/>
      <w:bookmarkStart w:id="368" w:name="_Toc27408"/>
      <w:bookmarkStart w:id="369" w:name="_Toc27503"/>
      <w:bookmarkStart w:id="370" w:name="_Toc14367"/>
      <w:bookmarkStart w:id="371" w:name="_Toc10050"/>
      <w:bookmarkStart w:id="372" w:name="_Toc11884"/>
      <w:bookmarkStart w:id="373" w:name="_Toc2888"/>
      <w:bookmarkStart w:id="374" w:name="_Toc2666"/>
      <w:bookmarkStart w:id="375" w:name="_Toc11863"/>
      <w:bookmarkStart w:id="376" w:name="_Toc17817"/>
      <w:bookmarkStart w:id="377" w:name="_Toc7840"/>
      <w:bookmarkStart w:id="378" w:name="_Toc27131"/>
      <w:bookmarkStart w:id="379" w:name="_Toc23022"/>
      <w:bookmarkStart w:id="380" w:name="_Toc23889"/>
      <w:bookmarkStart w:id="381" w:name="_Toc22714"/>
      <w:bookmarkStart w:id="382" w:name="_Toc26453"/>
      <w:bookmarkStart w:id="383" w:name="_Toc14607"/>
      <w:bookmarkStart w:id="384" w:name="_Toc1200"/>
      <w:bookmarkStart w:id="385" w:name="_Toc28247"/>
      <w:bookmarkStart w:id="386" w:name="_Toc474832145"/>
      <w:bookmarkStart w:id="387" w:name="_Toc15998"/>
      <w:bookmarkStart w:id="388" w:name="_Toc1777"/>
      <w:bookmarkStart w:id="389" w:name="_Toc17064"/>
      <w:bookmarkStart w:id="390" w:name="_Toc3926"/>
      <w:bookmarkStart w:id="391" w:name="_Toc25363"/>
      <w:bookmarkStart w:id="392" w:name="_Toc12686"/>
      <w:bookmarkStart w:id="393" w:name="_Toc2687"/>
      <w:bookmarkStart w:id="394" w:name="OLE_LINK7"/>
      <w:bookmarkStart w:id="395" w:name="_Toc15040"/>
      <w:bookmarkStart w:id="396" w:name="_Toc24862"/>
      <w:bookmarkStart w:id="397" w:name="_Toc32204"/>
      <w:bookmarkStart w:id="398" w:name="_Toc18717"/>
      <w:bookmarkStart w:id="399" w:name="_Toc17254"/>
      <w:bookmarkStart w:id="400" w:name="_Toc11594"/>
      <w:bookmarkStart w:id="401" w:name="_Toc21124"/>
      <w:bookmarkStart w:id="402" w:name="_Toc1103"/>
      <w:bookmarkStart w:id="403" w:name="_Toc3788"/>
      <w:bookmarkStart w:id="404" w:name="_Toc13259"/>
      <w:bookmarkStart w:id="405" w:name="_Toc11119"/>
      <w:bookmarkStart w:id="406" w:name="_Toc11656"/>
      <w:bookmarkStart w:id="407" w:name="_Toc24293"/>
      <w:bookmarkStart w:id="408" w:name="_Toc1575"/>
      <w:bookmarkStart w:id="409" w:name="_Toc1012"/>
      <w:bookmarkStart w:id="410" w:name="_Toc4569"/>
      <w:bookmarkStart w:id="411" w:name="_Toc9782"/>
      <w:bookmarkStart w:id="412" w:name="_Toc27366"/>
      <w:bookmarkStart w:id="413" w:name="_Toc31298"/>
      <w:bookmarkStart w:id="414" w:name="_Toc25852"/>
      <w:bookmarkStart w:id="415" w:name="_Toc7108"/>
      <w:bookmarkStart w:id="416" w:name="_Toc12009"/>
      <w:bookmarkStart w:id="417" w:name="_Toc1943"/>
      <w:bookmarkStart w:id="418" w:name="_Toc26483"/>
      <w:bookmarkStart w:id="419" w:name="_Toc9910"/>
      <w:bookmarkStart w:id="420" w:name="_Toc21525"/>
      <w:bookmarkStart w:id="421" w:name="_Toc6092"/>
      <w:bookmarkStart w:id="422" w:name="_Toc18253"/>
      <w:bookmarkStart w:id="423" w:name="_Toc15808"/>
      <w:bookmarkStart w:id="424" w:name="_Toc4940"/>
      <w:bookmarkStart w:id="425" w:name="_Toc25724"/>
      <w:bookmarkStart w:id="426" w:name="_Toc20715"/>
      <w:bookmarkStart w:id="427" w:name="_Toc6447"/>
      <w:r>
        <w:rPr>
          <w:rFonts w:hint="eastAsia" w:cs="宋体"/>
          <w:color w:val="auto"/>
          <w:kern w:val="2"/>
          <w:sz w:val="21"/>
          <w:szCs w:val="21"/>
          <w:highlight w:val="none"/>
        </w:rPr>
        <w:t>第二章 工程概况</w:t>
      </w:r>
      <w:bookmarkEnd w:id="365"/>
      <w:bookmarkEnd w:id="366"/>
    </w:p>
    <w:p>
      <w:pPr>
        <w:pStyle w:val="5"/>
        <w:rPr>
          <w:color w:val="auto"/>
          <w:sz w:val="21"/>
          <w:szCs w:val="21"/>
          <w:highlight w:val="none"/>
        </w:rPr>
      </w:pPr>
      <w:bookmarkStart w:id="428" w:name="_Toc2176"/>
      <w:bookmarkStart w:id="429" w:name="_Toc91247579"/>
      <w:bookmarkStart w:id="430" w:name="_Toc91247580"/>
      <w:bookmarkStart w:id="431" w:name="_Toc19317"/>
      <w:r>
        <w:rPr>
          <w:rFonts w:hint="eastAsia"/>
          <w:color w:val="auto"/>
          <w:sz w:val="21"/>
          <w:szCs w:val="21"/>
          <w:highlight w:val="none"/>
        </w:rPr>
        <w:t xml:space="preserve">1 </w:t>
      </w:r>
      <w:r>
        <w:rPr>
          <w:color w:val="auto"/>
          <w:sz w:val="21"/>
          <w:szCs w:val="21"/>
          <w:highlight w:val="none"/>
        </w:rPr>
        <w:t>项目概况</w:t>
      </w:r>
      <w:bookmarkEnd w:id="428"/>
      <w:bookmarkEnd w:id="429"/>
    </w:p>
    <w:p>
      <w:pPr>
        <w:pStyle w:val="75"/>
        <w:ind w:firstLine="420"/>
        <w:rPr>
          <w:rFonts w:ascii="宋体" w:cs="宋体"/>
          <w:color w:val="auto"/>
          <w:sz w:val="21"/>
          <w:szCs w:val="21"/>
          <w:highlight w:val="none"/>
        </w:rPr>
      </w:pPr>
      <w:r>
        <w:rPr>
          <w:rFonts w:hint="eastAsia" w:ascii="宋体" w:cs="宋体"/>
          <w:color w:val="auto"/>
          <w:sz w:val="21"/>
          <w:szCs w:val="21"/>
          <w:highlight w:val="none"/>
        </w:rPr>
        <w:t>1.1 项目名称：滨州沾化区2GW渔光互补发电项目一期工程</w:t>
      </w:r>
    </w:p>
    <w:p>
      <w:pPr>
        <w:pStyle w:val="75"/>
        <w:ind w:firstLine="420"/>
        <w:rPr>
          <w:rFonts w:ascii="宋体" w:cs="宋体"/>
          <w:color w:val="auto"/>
          <w:sz w:val="21"/>
          <w:szCs w:val="21"/>
          <w:highlight w:val="none"/>
        </w:rPr>
      </w:pPr>
      <w:r>
        <w:rPr>
          <w:rFonts w:hint="eastAsia" w:ascii="宋体" w:cs="宋体"/>
          <w:color w:val="auto"/>
          <w:sz w:val="21"/>
          <w:szCs w:val="21"/>
          <w:highlight w:val="none"/>
        </w:rPr>
        <w:t>1.2 工程地址：本工程位于山东省滨州市沾化区，占地面积约</w:t>
      </w:r>
      <w:r>
        <w:rPr>
          <w:rFonts w:ascii="宋体" w:cs="宋体"/>
          <w:color w:val="auto"/>
          <w:sz w:val="21"/>
          <w:szCs w:val="21"/>
          <w:highlight w:val="none"/>
        </w:rPr>
        <w:t>3616</w:t>
      </w:r>
      <w:r>
        <w:rPr>
          <w:rFonts w:hint="eastAsia" w:ascii="宋体" w:cs="宋体"/>
          <w:color w:val="auto"/>
          <w:sz w:val="21"/>
          <w:szCs w:val="21"/>
          <w:highlight w:val="none"/>
        </w:rPr>
        <w:t>公顷，本期为一期工程。地处东经118°6′27.27″，北纬38°6′46.00″，距沾化区中心约4</w:t>
      </w:r>
      <w:r>
        <w:rPr>
          <w:rFonts w:ascii="宋体" w:cs="宋体"/>
          <w:color w:val="auto"/>
          <w:sz w:val="21"/>
          <w:szCs w:val="21"/>
          <w:highlight w:val="none"/>
        </w:rPr>
        <w:t>5</w:t>
      </w:r>
      <w:r>
        <w:rPr>
          <w:rFonts w:hint="eastAsia" w:ascii="宋体" w:cs="宋体"/>
          <w:color w:val="auto"/>
          <w:sz w:val="21"/>
          <w:szCs w:val="21"/>
          <w:highlight w:val="none"/>
        </w:rPr>
        <w:t>km。</w:t>
      </w:r>
    </w:p>
    <w:p>
      <w:pPr>
        <w:pStyle w:val="75"/>
        <w:ind w:firstLine="420"/>
        <w:rPr>
          <w:rFonts w:ascii="宋体" w:cs="宋体"/>
          <w:color w:val="auto"/>
          <w:sz w:val="21"/>
          <w:szCs w:val="21"/>
          <w:highlight w:val="none"/>
        </w:rPr>
      </w:pPr>
      <w:r>
        <w:rPr>
          <w:rFonts w:hint="eastAsia" w:ascii="宋体" w:cs="宋体"/>
          <w:color w:val="auto"/>
          <w:sz w:val="21"/>
          <w:szCs w:val="21"/>
          <w:highlight w:val="none"/>
        </w:rPr>
        <w:t>1.3 运输方式：铁路、公路。</w:t>
      </w:r>
    </w:p>
    <w:p>
      <w:pPr>
        <w:pStyle w:val="5"/>
        <w:rPr>
          <w:color w:val="auto"/>
          <w:sz w:val="21"/>
          <w:szCs w:val="21"/>
          <w:highlight w:val="none"/>
        </w:rPr>
      </w:pPr>
      <w:r>
        <w:rPr>
          <w:rFonts w:hint="eastAsia"/>
          <w:color w:val="auto"/>
          <w:sz w:val="21"/>
          <w:szCs w:val="21"/>
          <w:highlight w:val="none"/>
        </w:rPr>
        <w:t xml:space="preserve">2 </w:t>
      </w:r>
      <w:r>
        <w:rPr>
          <w:color w:val="auto"/>
          <w:sz w:val="21"/>
          <w:szCs w:val="21"/>
          <w:highlight w:val="none"/>
        </w:rPr>
        <w:t>环境条件</w:t>
      </w:r>
      <w:bookmarkEnd w:id="430"/>
      <w:bookmarkEnd w:id="431"/>
    </w:p>
    <w:tbl>
      <w:tblPr>
        <w:tblStyle w:val="34"/>
        <w:tblW w:w="852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995"/>
        <w:gridCol w:w="39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4549" w:type="dxa"/>
            <w:gridSpan w:val="2"/>
            <w:vAlign w:val="center"/>
          </w:tcPr>
          <w:p>
            <w:pPr>
              <w:pStyle w:val="75"/>
              <w:spacing w:line="240" w:lineRule="auto"/>
              <w:ind w:firstLine="0" w:firstLineChars="0"/>
              <w:jc w:val="center"/>
              <w:rPr>
                <w:rFonts w:ascii="宋体" w:cs="宋体"/>
                <w:color w:val="auto"/>
                <w:sz w:val="21"/>
                <w:szCs w:val="21"/>
                <w:highlight w:val="none"/>
              </w:rPr>
            </w:pPr>
            <w:bookmarkStart w:id="432" w:name="_Hlk134707345"/>
            <w:r>
              <w:rPr>
                <w:rFonts w:hint="eastAsia" w:ascii="宋体" w:cs="宋体"/>
                <w:color w:val="auto"/>
                <w:sz w:val="21"/>
                <w:szCs w:val="21"/>
                <w:highlight w:val="none"/>
              </w:rPr>
              <w:t>海拔高度（m）</w:t>
            </w:r>
          </w:p>
        </w:tc>
        <w:tc>
          <w:tcPr>
            <w:tcW w:w="3980" w:type="dxa"/>
            <w:vAlign w:val="center"/>
          </w:tcPr>
          <w:p>
            <w:pPr>
              <w:pStyle w:val="75"/>
              <w:spacing w:line="240" w:lineRule="auto"/>
              <w:ind w:firstLine="0" w:firstLineChars="0"/>
              <w:jc w:val="center"/>
              <w:rPr>
                <w:rFonts w:ascii="宋体" w:cs="宋体"/>
                <w:color w:val="auto"/>
                <w:sz w:val="21"/>
                <w:szCs w:val="21"/>
                <w:highlight w:val="none"/>
              </w:rPr>
            </w:pPr>
            <w:r>
              <w:rPr>
                <w:rFonts w:ascii="宋体" w:cs="宋体"/>
                <w:color w:val="auto"/>
                <w:sz w:val="21"/>
                <w:szCs w:val="21"/>
                <w:highlight w:val="none"/>
              </w:rPr>
              <w:t>8</w:t>
            </w:r>
            <w:r>
              <w:rPr>
                <w:rFonts w:hint="eastAsia" w:ascii="宋体" w:cs="宋体"/>
                <w:color w:val="auto"/>
                <w:sz w:val="21"/>
                <w:szCs w:val="21"/>
                <w:highlight w:val="none"/>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4" w:type="dxa"/>
            <w:vMerge w:val="restart"/>
            <w:vAlign w:val="center"/>
          </w:tcPr>
          <w:p>
            <w:pPr>
              <w:pStyle w:val="75"/>
              <w:spacing w:line="240" w:lineRule="auto"/>
              <w:ind w:firstLine="0" w:firstLineChars="0"/>
              <w:rPr>
                <w:rFonts w:ascii="宋体" w:cs="宋体"/>
                <w:color w:val="auto"/>
                <w:sz w:val="21"/>
                <w:szCs w:val="21"/>
                <w:highlight w:val="none"/>
              </w:rPr>
            </w:pPr>
            <w:r>
              <w:rPr>
                <w:rFonts w:hint="eastAsia" w:ascii="宋体" w:cs="宋体"/>
                <w:color w:val="auto"/>
                <w:sz w:val="21"/>
                <w:szCs w:val="21"/>
                <w:highlight w:val="none"/>
              </w:rPr>
              <w:t>环境温度和冷却介质温度（℃）</w:t>
            </w:r>
          </w:p>
        </w:tc>
        <w:tc>
          <w:tcPr>
            <w:tcW w:w="2995" w:type="dxa"/>
            <w:vAlign w:val="center"/>
          </w:tcPr>
          <w:p>
            <w:pPr>
              <w:pStyle w:val="75"/>
              <w:spacing w:line="240" w:lineRule="auto"/>
              <w:ind w:firstLine="0" w:firstLineChars="0"/>
              <w:rPr>
                <w:rFonts w:ascii="宋体" w:cs="宋体"/>
                <w:color w:val="auto"/>
                <w:sz w:val="21"/>
                <w:szCs w:val="21"/>
                <w:highlight w:val="none"/>
              </w:rPr>
            </w:pPr>
            <w:r>
              <w:rPr>
                <w:rFonts w:hint="eastAsia" w:ascii="宋体" w:cs="宋体"/>
                <w:color w:val="auto"/>
                <w:sz w:val="21"/>
                <w:szCs w:val="21"/>
                <w:highlight w:val="none"/>
              </w:rPr>
              <w:t>最高气温</w:t>
            </w:r>
          </w:p>
        </w:tc>
        <w:tc>
          <w:tcPr>
            <w:tcW w:w="3980" w:type="dxa"/>
            <w:vAlign w:val="center"/>
          </w:tcPr>
          <w:p>
            <w:pPr>
              <w:pStyle w:val="75"/>
              <w:spacing w:line="240" w:lineRule="auto"/>
              <w:ind w:firstLine="0" w:firstLineChars="0"/>
              <w:jc w:val="center"/>
              <w:rPr>
                <w:rFonts w:ascii="宋体" w:cs="宋体"/>
                <w:color w:val="auto"/>
                <w:sz w:val="21"/>
                <w:szCs w:val="21"/>
                <w:highlight w:val="none"/>
              </w:rPr>
            </w:pPr>
            <w:r>
              <w:rPr>
                <w:rFonts w:ascii="宋体" w:cs="宋体"/>
                <w:color w:val="auto"/>
                <w:sz w:val="21"/>
                <w:szCs w:val="21"/>
                <w:highlight w:val="none"/>
              </w:rPr>
              <w:t>40.9</w:t>
            </w:r>
            <w:r>
              <w:rPr>
                <w:rFonts w:hint="eastAsia" w:ascii="宋体" w:cs="宋体"/>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4" w:type="dxa"/>
            <w:vMerge w:val="continue"/>
            <w:vAlign w:val="center"/>
          </w:tcPr>
          <w:p>
            <w:pPr>
              <w:pStyle w:val="75"/>
              <w:spacing w:line="240" w:lineRule="auto"/>
              <w:ind w:firstLine="0" w:firstLineChars="0"/>
              <w:rPr>
                <w:rFonts w:ascii="宋体" w:cs="宋体"/>
                <w:color w:val="auto"/>
                <w:sz w:val="21"/>
                <w:szCs w:val="21"/>
                <w:highlight w:val="none"/>
              </w:rPr>
            </w:pPr>
          </w:p>
        </w:tc>
        <w:tc>
          <w:tcPr>
            <w:tcW w:w="2995" w:type="dxa"/>
            <w:vAlign w:val="center"/>
          </w:tcPr>
          <w:p>
            <w:pPr>
              <w:pStyle w:val="75"/>
              <w:spacing w:line="240" w:lineRule="auto"/>
              <w:ind w:firstLine="0" w:firstLineChars="0"/>
              <w:rPr>
                <w:rFonts w:ascii="宋体" w:cs="宋体"/>
                <w:color w:val="auto"/>
                <w:sz w:val="21"/>
                <w:szCs w:val="21"/>
                <w:highlight w:val="none"/>
              </w:rPr>
            </w:pPr>
            <w:r>
              <w:rPr>
                <w:rFonts w:hint="eastAsia" w:ascii="宋体" w:cs="宋体"/>
                <w:color w:val="auto"/>
                <w:sz w:val="21"/>
                <w:szCs w:val="21"/>
                <w:highlight w:val="none"/>
              </w:rPr>
              <w:t>最低气温</w:t>
            </w:r>
          </w:p>
        </w:tc>
        <w:tc>
          <w:tcPr>
            <w:tcW w:w="3980" w:type="dxa"/>
            <w:vAlign w:val="center"/>
          </w:tcPr>
          <w:p>
            <w:pPr>
              <w:pStyle w:val="75"/>
              <w:spacing w:line="240" w:lineRule="auto"/>
              <w:ind w:firstLine="0" w:firstLineChars="0"/>
              <w:jc w:val="center"/>
              <w:rPr>
                <w:rFonts w:ascii="宋体" w:cs="宋体"/>
                <w:color w:val="auto"/>
                <w:sz w:val="21"/>
                <w:szCs w:val="21"/>
                <w:highlight w:val="none"/>
              </w:rPr>
            </w:pPr>
            <w:r>
              <w:rPr>
                <w:rFonts w:ascii="宋体" w:cs="宋体"/>
                <w:color w:val="auto"/>
                <w:sz w:val="21"/>
                <w:szCs w:val="21"/>
                <w:highlight w:val="none"/>
              </w:rPr>
              <w:t>-21.4</w:t>
            </w:r>
            <w:r>
              <w:rPr>
                <w:rFonts w:hint="eastAsia" w:ascii="宋体" w:cs="宋体"/>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4" w:type="dxa"/>
            <w:vMerge w:val="continue"/>
            <w:vAlign w:val="center"/>
          </w:tcPr>
          <w:p>
            <w:pPr>
              <w:pStyle w:val="75"/>
              <w:spacing w:line="240" w:lineRule="auto"/>
              <w:ind w:firstLine="0" w:firstLineChars="0"/>
              <w:rPr>
                <w:rFonts w:ascii="宋体" w:cs="宋体"/>
                <w:color w:val="auto"/>
                <w:sz w:val="21"/>
                <w:szCs w:val="21"/>
                <w:highlight w:val="none"/>
              </w:rPr>
            </w:pPr>
          </w:p>
        </w:tc>
        <w:tc>
          <w:tcPr>
            <w:tcW w:w="2995" w:type="dxa"/>
            <w:vAlign w:val="center"/>
          </w:tcPr>
          <w:p>
            <w:pPr>
              <w:pStyle w:val="75"/>
              <w:spacing w:line="240" w:lineRule="auto"/>
              <w:ind w:firstLine="0" w:firstLineChars="0"/>
              <w:rPr>
                <w:rFonts w:ascii="宋体" w:cs="宋体"/>
                <w:color w:val="auto"/>
                <w:sz w:val="21"/>
                <w:szCs w:val="21"/>
                <w:highlight w:val="none"/>
              </w:rPr>
            </w:pPr>
            <w:r>
              <w:rPr>
                <w:rFonts w:hint="eastAsia" w:ascii="宋体" w:cs="宋体"/>
                <w:color w:val="auto"/>
                <w:sz w:val="21"/>
                <w:szCs w:val="21"/>
                <w:highlight w:val="none"/>
              </w:rPr>
              <w:t>最热月平均温度</w:t>
            </w:r>
          </w:p>
        </w:tc>
        <w:tc>
          <w:tcPr>
            <w:tcW w:w="3980" w:type="dxa"/>
            <w:vAlign w:val="center"/>
          </w:tcPr>
          <w:p>
            <w:pPr>
              <w:pStyle w:val="75"/>
              <w:spacing w:line="240" w:lineRule="auto"/>
              <w:ind w:firstLine="0" w:firstLineChars="0"/>
              <w:jc w:val="center"/>
              <w:rPr>
                <w:rFonts w:ascii="宋体" w:cs="宋体"/>
                <w:color w:val="auto"/>
                <w:sz w:val="21"/>
                <w:szCs w:val="21"/>
                <w:highlight w:val="none"/>
              </w:rPr>
            </w:pPr>
            <w:r>
              <w:rPr>
                <w:rFonts w:ascii="宋体" w:cs="宋体"/>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4" w:type="dxa"/>
            <w:vMerge w:val="continue"/>
            <w:vAlign w:val="center"/>
          </w:tcPr>
          <w:p>
            <w:pPr>
              <w:pStyle w:val="75"/>
              <w:spacing w:line="240" w:lineRule="auto"/>
              <w:ind w:firstLine="0" w:firstLineChars="0"/>
              <w:rPr>
                <w:rFonts w:ascii="宋体" w:cs="宋体"/>
                <w:color w:val="auto"/>
                <w:sz w:val="21"/>
                <w:szCs w:val="21"/>
                <w:highlight w:val="none"/>
              </w:rPr>
            </w:pPr>
          </w:p>
        </w:tc>
        <w:tc>
          <w:tcPr>
            <w:tcW w:w="2995" w:type="dxa"/>
            <w:vAlign w:val="center"/>
          </w:tcPr>
          <w:p>
            <w:pPr>
              <w:pStyle w:val="75"/>
              <w:spacing w:line="240" w:lineRule="auto"/>
              <w:ind w:firstLine="0" w:firstLineChars="0"/>
              <w:rPr>
                <w:rFonts w:ascii="宋体" w:cs="宋体"/>
                <w:color w:val="auto"/>
                <w:sz w:val="21"/>
                <w:szCs w:val="21"/>
                <w:highlight w:val="none"/>
              </w:rPr>
            </w:pPr>
            <w:r>
              <w:rPr>
                <w:rFonts w:hint="eastAsia" w:ascii="宋体" w:cs="宋体"/>
                <w:color w:val="auto"/>
                <w:sz w:val="21"/>
                <w:szCs w:val="21"/>
                <w:highlight w:val="none"/>
              </w:rPr>
              <w:t>最高年平均温度</w:t>
            </w:r>
          </w:p>
        </w:tc>
        <w:tc>
          <w:tcPr>
            <w:tcW w:w="3980" w:type="dxa"/>
            <w:vAlign w:val="center"/>
          </w:tcPr>
          <w:p>
            <w:pPr>
              <w:pStyle w:val="75"/>
              <w:spacing w:line="240" w:lineRule="auto"/>
              <w:ind w:firstLine="0" w:firstLineChars="0"/>
              <w:jc w:val="center"/>
              <w:rPr>
                <w:rFonts w:ascii="宋体" w:cs="宋体"/>
                <w:color w:val="auto"/>
                <w:sz w:val="21"/>
                <w:szCs w:val="21"/>
                <w:highlight w:val="none"/>
              </w:rPr>
            </w:pPr>
            <w:r>
              <w:rPr>
                <w:rFonts w:ascii="宋体" w:cs="宋体"/>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4" w:type="dxa"/>
            <w:vMerge w:val="restart"/>
            <w:vAlign w:val="center"/>
          </w:tcPr>
          <w:p>
            <w:pPr>
              <w:pStyle w:val="75"/>
              <w:spacing w:line="240" w:lineRule="auto"/>
              <w:ind w:firstLine="0" w:firstLineChars="0"/>
              <w:rPr>
                <w:rFonts w:ascii="宋体" w:cs="宋体"/>
                <w:color w:val="auto"/>
                <w:sz w:val="21"/>
                <w:szCs w:val="21"/>
                <w:highlight w:val="none"/>
              </w:rPr>
            </w:pPr>
            <w:r>
              <w:rPr>
                <w:rFonts w:hint="eastAsia" w:ascii="宋体" w:cs="宋体"/>
                <w:color w:val="auto"/>
                <w:sz w:val="21"/>
                <w:szCs w:val="21"/>
                <w:highlight w:val="none"/>
              </w:rPr>
              <w:t>耐地震能力</w:t>
            </w:r>
          </w:p>
        </w:tc>
        <w:tc>
          <w:tcPr>
            <w:tcW w:w="2995" w:type="dxa"/>
            <w:vAlign w:val="center"/>
          </w:tcPr>
          <w:p>
            <w:pPr>
              <w:pStyle w:val="75"/>
              <w:spacing w:line="240" w:lineRule="auto"/>
              <w:ind w:firstLine="0" w:firstLineChars="0"/>
              <w:rPr>
                <w:rFonts w:ascii="宋体" w:cs="宋体"/>
                <w:color w:val="auto"/>
                <w:sz w:val="21"/>
                <w:szCs w:val="21"/>
                <w:highlight w:val="none"/>
              </w:rPr>
            </w:pPr>
            <w:r>
              <w:rPr>
                <w:rFonts w:hint="eastAsia" w:ascii="宋体" w:cs="宋体"/>
                <w:color w:val="auto"/>
                <w:sz w:val="21"/>
                <w:szCs w:val="21"/>
                <w:highlight w:val="none"/>
              </w:rPr>
              <w:t>地面水平加速度</w:t>
            </w:r>
          </w:p>
        </w:tc>
        <w:tc>
          <w:tcPr>
            <w:tcW w:w="3980" w:type="dxa"/>
            <w:vAlign w:val="center"/>
          </w:tcPr>
          <w:p>
            <w:pPr>
              <w:pStyle w:val="75"/>
              <w:spacing w:line="240" w:lineRule="auto"/>
              <w:ind w:firstLine="0" w:firstLineChars="0"/>
              <w:jc w:val="center"/>
              <w:rPr>
                <w:rFonts w:ascii="宋体" w:cs="宋体"/>
                <w:color w:val="auto"/>
                <w:sz w:val="21"/>
                <w:szCs w:val="21"/>
                <w:highlight w:val="none"/>
              </w:rPr>
            </w:pPr>
            <w:r>
              <w:rPr>
                <w:rFonts w:ascii="宋体" w:cs="宋体"/>
                <w:color w:val="auto"/>
                <w:sz w:val="21"/>
                <w:szCs w:val="21"/>
                <w:highlight w:val="none"/>
              </w:rPr>
              <w:t>0.10</w:t>
            </w:r>
            <w:r>
              <w:rPr>
                <w:rFonts w:hint="eastAsia" w:ascii="宋体" w:cs="宋体"/>
                <w:color w:val="auto"/>
                <w:sz w:val="21"/>
                <w:szCs w:val="21"/>
                <w:highlight w:val="none"/>
              </w:rPr>
              <w:t>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54" w:type="dxa"/>
            <w:vMerge w:val="continue"/>
            <w:vAlign w:val="center"/>
          </w:tcPr>
          <w:p>
            <w:pPr>
              <w:pStyle w:val="75"/>
              <w:spacing w:line="240" w:lineRule="auto"/>
              <w:ind w:firstLine="420"/>
              <w:rPr>
                <w:rFonts w:ascii="宋体" w:cs="宋体"/>
                <w:color w:val="auto"/>
                <w:sz w:val="21"/>
                <w:szCs w:val="21"/>
                <w:highlight w:val="none"/>
              </w:rPr>
            </w:pPr>
          </w:p>
        </w:tc>
        <w:tc>
          <w:tcPr>
            <w:tcW w:w="6975" w:type="dxa"/>
            <w:gridSpan w:val="2"/>
            <w:vAlign w:val="center"/>
          </w:tcPr>
          <w:p>
            <w:pPr>
              <w:pStyle w:val="75"/>
              <w:spacing w:line="240" w:lineRule="auto"/>
              <w:ind w:firstLine="0" w:firstLineChars="0"/>
              <w:jc w:val="center"/>
              <w:rPr>
                <w:rFonts w:ascii="宋体" w:cs="宋体"/>
                <w:color w:val="auto"/>
                <w:sz w:val="21"/>
                <w:szCs w:val="21"/>
                <w:highlight w:val="none"/>
              </w:rPr>
            </w:pPr>
            <w:r>
              <w:rPr>
                <w:rFonts w:hint="eastAsia" w:ascii="宋体" w:cs="宋体"/>
                <w:color w:val="auto"/>
                <w:sz w:val="21"/>
                <w:szCs w:val="21"/>
                <w:highlight w:val="none"/>
              </w:rPr>
              <w:t>正弦共振三个周期，安全系数1.67以上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49" w:type="dxa"/>
            <w:gridSpan w:val="2"/>
            <w:vAlign w:val="center"/>
          </w:tcPr>
          <w:p>
            <w:pPr>
              <w:pStyle w:val="75"/>
              <w:spacing w:line="240" w:lineRule="auto"/>
              <w:ind w:firstLine="0" w:firstLineChars="0"/>
              <w:jc w:val="center"/>
              <w:rPr>
                <w:rFonts w:ascii="宋体" w:cs="宋体"/>
                <w:color w:val="auto"/>
                <w:sz w:val="21"/>
                <w:szCs w:val="21"/>
                <w:highlight w:val="none"/>
              </w:rPr>
            </w:pPr>
            <w:r>
              <w:rPr>
                <w:rFonts w:hint="eastAsia" w:ascii="宋体" w:cs="宋体"/>
                <w:color w:val="auto"/>
                <w:sz w:val="21"/>
                <w:szCs w:val="21"/>
                <w:highlight w:val="none"/>
              </w:rPr>
              <w:t>风速（m/s）</w:t>
            </w:r>
          </w:p>
        </w:tc>
        <w:tc>
          <w:tcPr>
            <w:tcW w:w="3980" w:type="dxa"/>
            <w:vAlign w:val="center"/>
          </w:tcPr>
          <w:p>
            <w:pPr>
              <w:pStyle w:val="75"/>
              <w:spacing w:line="240" w:lineRule="auto"/>
              <w:ind w:firstLine="0" w:firstLineChars="0"/>
              <w:jc w:val="center"/>
              <w:rPr>
                <w:rFonts w:ascii="宋体" w:cs="宋体"/>
                <w:color w:val="auto"/>
                <w:sz w:val="21"/>
                <w:szCs w:val="21"/>
                <w:highlight w:val="none"/>
              </w:rPr>
            </w:pPr>
            <w:r>
              <w:rPr>
                <w:rFonts w:hint="eastAsia" w:ascii="宋体" w:cs="宋体"/>
                <w:color w:val="auto"/>
                <w:sz w:val="21"/>
                <w:szCs w:val="21"/>
                <w:highlight w:val="none"/>
              </w:rPr>
              <w:t>离地面高10m处，维持10min的平均最大风速</w:t>
            </w:r>
            <w:r>
              <w:rPr>
                <w:rFonts w:ascii="宋体" w:cs="宋体"/>
                <w:color w:val="auto"/>
                <w:sz w:val="21"/>
                <w:szCs w:val="21"/>
                <w:highlight w:val="none"/>
              </w:rPr>
              <w:t>21</w:t>
            </w:r>
            <w:r>
              <w:rPr>
                <w:rFonts w:hint="eastAsia" w:ascii="宋体" w:cs="宋体"/>
                <w:color w:val="auto"/>
                <w:sz w:val="21"/>
                <w:szCs w:val="21"/>
                <w:highlight w:val="none"/>
              </w:rPr>
              <w:t>m/s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49" w:type="dxa"/>
            <w:gridSpan w:val="2"/>
            <w:vAlign w:val="center"/>
          </w:tcPr>
          <w:p>
            <w:pPr>
              <w:pStyle w:val="75"/>
              <w:spacing w:line="240" w:lineRule="auto"/>
              <w:ind w:firstLine="0" w:firstLineChars="0"/>
              <w:jc w:val="center"/>
              <w:rPr>
                <w:rFonts w:ascii="宋体" w:cs="宋体"/>
                <w:color w:val="auto"/>
                <w:sz w:val="21"/>
                <w:szCs w:val="21"/>
                <w:highlight w:val="none"/>
              </w:rPr>
            </w:pPr>
            <w:r>
              <w:rPr>
                <w:rFonts w:hint="eastAsia" w:ascii="宋体" w:cs="宋体"/>
                <w:color w:val="auto"/>
                <w:sz w:val="21"/>
                <w:szCs w:val="21"/>
                <w:highlight w:val="none"/>
              </w:rPr>
              <w:t>月平均最高相对湿度，25℃下（%）</w:t>
            </w:r>
          </w:p>
        </w:tc>
        <w:tc>
          <w:tcPr>
            <w:tcW w:w="3980" w:type="dxa"/>
            <w:vAlign w:val="center"/>
          </w:tcPr>
          <w:p>
            <w:pPr>
              <w:pStyle w:val="75"/>
              <w:spacing w:line="240" w:lineRule="auto"/>
              <w:ind w:firstLine="0" w:firstLineChars="0"/>
              <w:jc w:val="center"/>
              <w:rPr>
                <w:rFonts w:ascii="宋体" w:cs="宋体"/>
                <w:color w:val="auto"/>
                <w:sz w:val="21"/>
                <w:szCs w:val="21"/>
                <w:highlight w:val="none"/>
              </w:rPr>
            </w:pPr>
            <w:r>
              <w:rPr>
                <w:rFonts w:hint="eastAsia" w:ascii="宋体" w:cs="宋体"/>
                <w:color w:val="auto"/>
                <w:sz w:val="21"/>
                <w:szCs w:val="21"/>
                <w:highlight w:val="none"/>
              </w:rPr>
              <w:t>&gt;90%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49" w:type="dxa"/>
            <w:gridSpan w:val="2"/>
            <w:vAlign w:val="center"/>
          </w:tcPr>
          <w:p>
            <w:pPr>
              <w:pStyle w:val="75"/>
              <w:spacing w:line="240" w:lineRule="auto"/>
              <w:ind w:firstLine="0" w:firstLineChars="0"/>
              <w:jc w:val="center"/>
              <w:rPr>
                <w:rFonts w:ascii="宋体" w:cs="宋体"/>
                <w:color w:val="auto"/>
                <w:sz w:val="21"/>
                <w:szCs w:val="21"/>
                <w:highlight w:val="none"/>
              </w:rPr>
            </w:pPr>
            <w:r>
              <w:rPr>
                <w:rFonts w:hint="eastAsia" w:ascii="宋体" w:cs="宋体"/>
                <w:color w:val="auto"/>
                <w:sz w:val="21"/>
                <w:szCs w:val="21"/>
                <w:highlight w:val="none"/>
              </w:rPr>
              <w:t>日照强度（W/cm2）</w:t>
            </w:r>
          </w:p>
        </w:tc>
        <w:tc>
          <w:tcPr>
            <w:tcW w:w="3980" w:type="dxa"/>
            <w:vAlign w:val="center"/>
          </w:tcPr>
          <w:p>
            <w:pPr>
              <w:pStyle w:val="75"/>
              <w:spacing w:line="240" w:lineRule="auto"/>
              <w:ind w:firstLine="0" w:firstLineChars="0"/>
              <w:jc w:val="center"/>
              <w:rPr>
                <w:rFonts w:ascii="宋体" w:cs="宋体"/>
                <w:color w:val="auto"/>
                <w:sz w:val="21"/>
                <w:szCs w:val="21"/>
                <w:highlight w:val="none"/>
              </w:rPr>
            </w:pPr>
            <w:r>
              <w:rPr>
                <w:rFonts w:hint="eastAsia" w:ascii="宋体" w:cs="宋体"/>
                <w:color w:val="auto"/>
                <w:sz w:val="21"/>
                <w:szCs w:val="21"/>
                <w:highlight w:val="none"/>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49" w:type="dxa"/>
            <w:gridSpan w:val="2"/>
            <w:vAlign w:val="center"/>
          </w:tcPr>
          <w:p>
            <w:pPr>
              <w:pStyle w:val="75"/>
              <w:spacing w:line="240" w:lineRule="auto"/>
              <w:ind w:firstLine="0" w:firstLineChars="0"/>
              <w:jc w:val="center"/>
              <w:rPr>
                <w:rFonts w:ascii="宋体" w:cs="宋体"/>
                <w:color w:val="auto"/>
                <w:sz w:val="21"/>
                <w:szCs w:val="21"/>
                <w:highlight w:val="none"/>
              </w:rPr>
            </w:pPr>
            <w:r>
              <w:rPr>
                <w:rFonts w:hint="eastAsia" w:ascii="宋体" w:cs="宋体"/>
                <w:color w:val="auto"/>
                <w:sz w:val="21"/>
                <w:szCs w:val="21"/>
                <w:highlight w:val="none"/>
              </w:rPr>
              <w:t>覆冰厚度（mm）</w:t>
            </w:r>
          </w:p>
        </w:tc>
        <w:tc>
          <w:tcPr>
            <w:tcW w:w="3980" w:type="dxa"/>
            <w:vAlign w:val="center"/>
          </w:tcPr>
          <w:p>
            <w:pPr>
              <w:pStyle w:val="75"/>
              <w:spacing w:line="240" w:lineRule="auto"/>
              <w:ind w:firstLine="0" w:firstLineChars="0"/>
              <w:jc w:val="center"/>
              <w:rPr>
                <w:rFonts w:ascii="宋体" w:cs="宋体"/>
                <w:color w:val="auto"/>
                <w:sz w:val="21"/>
                <w:szCs w:val="21"/>
                <w:highlight w:val="none"/>
              </w:rPr>
            </w:pPr>
            <w:r>
              <w:rPr>
                <w:rFonts w:ascii="宋体" w:cs="宋体"/>
                <w:color w:val="auto"/>
                <w:sz w:val="21"/>
                <w:szCs w:val="21"/>
                <w:highlight w:val="none"/>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49" w:type="dxa"/>
            <w:gridSpan w:val="2"/>
            <w:vAlign w:val="center"/>
          </w:tcPr>
          <w:p>
            <w:pPr>
              <w:pStyle w:val="75"/>
              <w:spacing w:line="240" w:lineRule="auto"/>
              <w:ind w:firstLine="0" w:firstLineChars="0"/>
              <w:jc w:val="center"/>
              <w:rPr>
                <w:rFonts w:ascii="宋体" w:cs="宋体"/>
                <w:color w:val="auto"/>
                <w:sz w:val="21"/>
                <w:szCs w:val="21"/>
                <w:highlight w:val="none"/>
              </w:rPr>
            </w:pPr>
            <w:r>
              <w:rPr>
                <w:rFonts w:hint="eastAsia" w:ascii="宋体" w:cs="宋体"/>
                <w:color w:val="auto"/>
                <w:sz w:val="21"/>
                <w:szCs w:val="21"/>
                <w:highlight w:val="none"/>
              </w:rPr>
              <w:t>污秽等级</w:t>
            </w:r>
          </w:p>
        </w:tc>
        <w:tc>
          <w:tcPr>
            <w:tcW w:w="3980" w:type="dxa"/>
            <w:vAlign w:val="center"/>
          </w:tcPr>
          <w:p>
            <w:pPr>
              <w:pStyle w:val="75"/>
              <w:spacing w:line="240" w:lineRule="auto"/>
              <w:ind w:firstLine="0" w:firstLineChars="0"/>
              <w:jc w:val="center"/>
              <w:rPr>
                <w:rFonts w:ascii="宋体" w:cs="宋体"/>
                <w:color w:val="auto"/>
                <w:sz w:val="21"/>
                <w:szCs w:val="21"/>
                <w:highlight w:val="none"/>
              </w:rPr>
            </w:pPr>
            <w:r>
              <w:rPr>
                <w:rFonts w:hint="eastAsia" w:ascii="宋体" w:cs="宋体"/>
                <w:color w:val="auto"/>
                <w:sz w:val="21"/>
                <w:szCs w:val="21"/>
                <w:highlight w:val="none"/>
              </w:rPr>
              <w:t>e级</w:t>
            </w:r>
          </w:p>
        </w:tc>
      </w:tr>
      <w:bookmarkEnd w:id="432"/>
    </w:tbl>
    <w:p>
      <w:pPr>
        <w:pStyle w:val="75"/>
        <w:ind w:firstLine="420"/>
        <w:rPr>
          <w:rFonts w:ascii="宋体" w:cs="宋体"/>
          <w:color w:val="auto"/>
          <w:sz w:val="21"/>
          <w:szCs w:val="21"/>
          <w:highlight w:val="none"/>
        </w:rPr>
      </w:pPr>
      <w:r>
        <w:rPr>
          <w:rFonts w:hint="eastAsia" w:ascii="宋体" w:cs="宋体"/>
          <w:color w:val="auto"/>
          <w:sz w:val="21"/>
          <w:szCs w:val="21"/>
          <w:highlight w:val="none"/>
        </w:rPr>
        <w:t>设备需要充分考虑防高温、高湿度、高盐雾环境防腐蚀的影响。</w:t>
      </w:r>
    </w:p>
    <w:p>
      <w:pPr>
        <w:pStyle w:val="5"/>
        <w:rPr>
          <w:color w:val="auto"/>
          <w:sz w:val="21"/>
          <w:szCs w:val="21"/>
          <w:highlight w:val="none"/>
        </w:rPr>
      </w:pPr>
      <w:bookmarkStart w:id="433" w:name="_Toc91247581"/>
      <w:bookmarkStart w:id="434" w:name="_Toc22602"/>
      <w:r>
        <w:rPr>
          <w:rFonts w:hint="eastAsia"/>
          <w:color w:val="auto"/>
          <w:sz w:val="21"/>
          <w:szCs w:val="21"/>
          <w:highlight w:val="none"/>
        </w:rPr>
        <w:t xml:space="preserve">3 </w:t>
      </w:r>
      <w:r>
        <w:rPr>
          <w:color w:val="auto"/>
          <w:sz w:val="21"/>
          <w:szCs w:val="21"/>
          <w:highlight w:val="none"/>
        </w:rPr>
        <w:t>系统条件</w:t>
      </w:r>
      <w:bookmarkEnd w:id="433"/>
      <w:bookmarkEnd w:id="434"/>
    </w:p>
    <w:p>
      <w:pPr>
        <w:pStyle w:val="75"/>
        <w:ind w:firstLine="420"/>
        <w:rPr>
          <w:rFonts w:ascii="宋体" w:cs="宋体"/>
          <w:color w:val="auto"/>
          <w:sz w:val="21"/>
          <w:szCs w:val="21"/>
          <w:highlight w:val="none"/>
        </w:rPr>
      </w:pPr>
      <w:r>
        <w:rPr>
          <w:rFonts w:hint="eastAsia" w:ascii="宋体" w:cs="宋体"/>
          <w:color w:val="auto"/>
          <w:sz w:val="21"/>
          <w:szCs w:val="21"/>
          <w:highlight w:val="none"/>
        </w:rPr>
        <w:t>3.1</w:t>
      </w:r>
      <w:r>
        <w:rPr>
          <w:rFonts w:hint="eastAsia" w:ascii="宋体" w:cs="宋体"/>
          <w:color w:val="auto"/>
          <w:sz w:val="21"/>
          <w:szCs w:val="21"/>
          <w:highlight w:val="none"/>
        </w:rPr>
        <w:tab/>
      </w:r>
      <w:r>
        <w:rPr>
          <w:rFonts w:hint="eastAsia" w:ascii="宋体" w:cs="宋体"/>
          <w:color w:val="auto"/>
          <w:sz w:val="21"/>
          <w:szCs w:val="21"/>
          <w:highlight w:val="none"/>
        </w:rPr>
        <w:t>额定频率：</w:t>
      </w:r>
      <w:r>
        <w:rPr>
          <w:rFonts w:hint="eastAsia" w:ascii="宋体" w:cs="宋体"/>
          <w:color w:val="auto"/>
          <w:sz w:val="21"/>
          <w:szCs w:val="21"/>
          <w:highlight w:val="none"/>
        </w:rPr>
        <w:tab/>
      </w:r>
      <w:r>
        <w:rPr>
          <w:rFonts w:hint="eastAsia" w:ascii="宋体" w:cs="宋体"/>
          <w:color w:val="auto"/>
          <w:sz w:val="21"/>
          <w:szCs w:val="21"/>
          <w:highlight w:val="none"/>
        </w:rPr>
        <w:tab/>
      </w:r>
      <w:r>
        <w:rPr>
          <w:rFonts w:hint="eastAsia" w:ascii="宋体" w:cs="宋体"/>
          <w:color w:val="auto"/>
          <w:sz w:val="21"/>
          <w:szCs w:val="21"/>
          <w:highlight w:val="none"/>
        </w:rPr>
        <w:tab/>
      </w:r>
      <w:r>
        <w:rPr>
          <w:rFonts w:hint="eastAsia" w:ascii="宋体" w:cs="宋体"/>
          <w:color w:val="auto"/>
          <w:sz w:val="21"/>
          <w:szCs w:val="21"/>
          <w:highlight w:val="none"/>
        </w:rPr>
        <w:t>50 Hz</w:t>
      </w:r>
    </w:p>
    <w:p>
      <w:pPr>
        <w:pStyle w:val="75"/>
        <w:ind w:firstLine="420"/>
        <w:rPr>
          <w:rFonts w:ascii="宋体" w:cs="宋体"/>
          <w:color w:val="auto"/>
          <w:sz w:val="21"/>
          <w:szCs w:val="21"/>
          <w:highlight w:val="none"/>
        </w:rPr>
      </w:pPr>
      <w:r>
        <w:rPr>
          <w:rFonts w:hint="eastAsia" w:ascii="宋体" w:cs="宋体"/>
          <w:color w:val="auto"/>
          <w:sz w:val="21"/>
          <w:szCs w:val="21"/>
          <w:highlight w:val="none"/>
        </w:rPr>
        <w:t xml:space="preserve">3.2 </w:t>
      </w:r>
      <w:r>
        <w:rPr>
          <w:rFonts w:hint="eastAsia" w:ascii="宋体" w:cs="宋体"/>
          <w:color w:val="auto"/>
          <w:sz w:val="21"/>
          <w:szCs w:val="21"/>
          <w:highlight w:val="none"/>
        </w:rPr>
        <w:tab/>
      </w:r>
      <w:r>
        <w:rPr>
          <w:rFonts w:hint="eastAsia" w:ascii="宋体" w:cs="宋体"/>
          <w:color w:val="auto"/>
          <w:sz w:val="21"/>
          <w:szCs w:val="21"/>
          <w:highlight w:val="none"/>
        </w:rPr>
        <w:t>最高运行电压：</w:t>
      </w:r>
      <w:r>
        <w:rPr>
          <w:rFonts w:hint="eastAsia" w:ascii="宋体" w:cs="宋体"/>
          <w:color w:val="auto"/>
          <w:sz w:val="21"/>
          <w:szCs w:val="21"/>
          <w:highlight w:val="none"/>
        </w:rPr>
        <w:tab/>
      </w:r>
      <w:r>
        <w:rPr>
          <w:rFonts w:hint="eastAsia" w:ascii="宋体" w:cs="宋体"/>
          <w:color w:val="auto"/>
          <w:sz w:val="21"/>
          <w:szCs w:val="21"/>
          <w:highlight w:val="none"/>
        </w:rPr>
        <w:tab/>
      </w:r>
      <w:r>
        <w:rPr>
          <w:rFonts w:hint="eastAsia" w:ascii="宋体" w:cs="宋体"/>
          <w:color w:val="auto"/>
          <w:sz w:val="21"/>
          <w:szCs w:val="21"/>
          <w:highlight w:val="none"/>
        </w:rPr>
        <w:t>直流侧1</w:t>
      </w:r>
      <w:r>
        <w:rPr>
          <w:rFonts w:ascii="宋体" w:cs="宋体"/>
          <w:color w:val="auto"/>
          <w:sz w:val="21"/>
          <w:szCs w:val="21"/>
          <w:highlight w:val="none"/>
        </w:rPr>
        <w:t>500</w:t>
      </w:r>
      <w:r>
        <w:rPr>
          <w:rFonts w:hint="eastAsia" w:ascii="宋体" w:cs="宋体"/>
          <w:color w:val="auto"/>
          <w:sz w:val="21"/>
          <w:szCs w:val="21"/>
          <w:highlight w:val="none"/>
        </w:rPr>
        <w:t>V</w:t>
      </w:r>
    </w:p>
    <w:p>
      <w:pPr>
        <w:pStyle w:val="75"/>
        <w:ind w:firstLine="420"/>
        <w:rPr>
          <w:rFonts w:ascii="宋体" w:cs="宋体"/>
          <w:color w:val="auto"/>
          <w:sz w:val="21"/>
          <w:szCs w:val="21"/>
          <w:highlight w:val="none"/>
        </w:rPr>
      </w:pPr>
      <w:r>
        <w:rPr>
          <w:rFonts w:hint="eastAsia" w:ascii="宋体" w:cs="宋体"/>
          <w:color w:val="auto"/>
          <w:sz w:val="21"/>
          <w:szCs w:val="21"/>
          <w:highlight w:val="none"/>
        </w:rPr>
        <w:t xml:space="preserve">3.3 </w:t>
      </w:r>
      <w:r>
        <w:rPr>
          <w:rFonts w:hint="eastAsia" w:ascii="宋体" w:cs="宋体"/>
          <w:color w:val="auto"/>
          <w:sz w:val="21"/>
          <w:szCs w:val="21"/>
          <w:highlight w:val="none"/>
        </w:rPr>
        <w:tab/>
      </w:r>
      <w:r>
        <w:rPr>
          <w:rFonts w:hint="eastAsia" w:ascii="宋体" w:cs="宋体"/>
          <w:color w:val="auto"/>
          <w:sz w:val="21"/>
          <w:szCs w:val="21"/>
          <w:highlight w:val="none"/>
        </w:rPr>
        <w:t>与其他设备连接方式：</w:t>
      </w:r>
      <w:r>
        <w:rPr>
          <w:rFonts w:hint="eastAsia" w:ascii="宋体" w:cs="宋体"/>
          <w:color w:val="auto"/>
          <w:sz w:val="21"/>
          <w:szCs w:val="21"/>
          <w:highlight w:val="none"/>
        </w:rPr>
        <w:tab/>
      </w:r>
      <w:bookmarkStart w:id="435" w:name="OLE_LINK12"/>
      <w:r>
        <w:rPr>
          <w:rFonts w:hint="eastAsia" w:ascii="宋体" w:cs="宋体"/>
          <w:color w:val="auto"/>
          <w:sz w:val="21"/>
          <w:szCs w:val="21"/>
          <w:highlight w:val="none"/>
        </w:rPr>
        <w:t>电缆接入</w:t>
      </w:r>
      <w:bookmarkEnd w:id="435"/>
    </w:p>
    <w:p>
      <w:pPr>
        <w:pStyle w:val="75"/>
        <w:ind w:firstLine="420"/>
        <w:rPr>
          <w:rFonts w:ascii="宋体" w:cs="宋体"/>
          <w:color w:val="auto"/>
          <w:sz w:val="21"/>
          <w:szCs w:val="21"/>
          <w:highlight w:val="none"/>
        </w:rPr>
      </w:pPr>
      <w:r>
        <w:rPr>
          <w:rFonts w:hint="eastAsia" w:ascii="宋体" w:cs="宋体"/>
          <w:color w:val="auto"/>
          <w:sz w:val="21"/>
          <w:szCs w:val="21"/>
          <w:highlight w:val="none"/>
        </w:rPr>
        <w:t>3.4</w:t>
      </w:r>
      <w:r>
        <w:rPr>
          <w:rFonts w:hint="eastAsia" w:ascii="宋体" w:cs="宋体"/>
          <w:color w:val="auto"/>
          <w:sz w:val="21"/>
          <w:szCs w:val="21"/>
          <w:highlight w:val="none"/>
        </w:rPr>
        <w:tab/>
      </w:r>
      <w:r>
        <w:rPr>
          <w:rFonts w:hint="eastAsia" w:ascii="宋体" w:cs="宋体"/>
          <w:color w:val="auto"/>
          <w:sz w:val="21"/>
          <w:szCs w:val="21"/>
          <w:highlight w:val="none"/>
        </w:rPr>
        <w:t>中性点接地方式：</w:t>
      </w:r>
      <w:r>
        <w:rPr>
          <w:rFonts w:hint="eastAsia" w:ascii="宋体" w:cs="宋体"/>
          <w:color w:val="auto"/>
          <w:sz w:val="21"/>
          <w:szCs w:val="21"/>
          <w:highlight w:val="none"/>
        </w:rPr>
        <w:tab/>
      </w:r>
      <w:r>
        <w:rPr>
          <w:rFonts w:hint="eastAsia" w:ascii="宋体" w:cs="宋体"/>
          <w:color w:val="auto"/>
          <w:sz w:val="21"/>
          <w:szCs w:val="21"/>
          <w:highlight w:val="none"/>
        </w:rPr>
        <w:tab/>
      </w:r>
    </w:p>
    <w:p>
      <w:pPr>
        <w:pStyle w:val="75"/>
        <w:ind w:firstLine="420"/>
        <w:rPr>
          <w:rFonts w:ascii="宋体" w:cs="宋体"/>
          <w:color w:val="auto"/>
          <w:sz w:val="21"/>
          <w:szCs w:val="21"/>
          <w:highlight w:val="none"/>
        </w:rPr>
      </w:pPr>
      <w:r>
        <w:rPr>
          <w:rFonts w:hint="eastAsia" w:ascii="宋体" w:cs="宋体"/>
          <w:color w:val="auto"/>
          <w:sz w:val="21"/>
          <w:szCs w:val="21"/>
          <w:highlight w:val="none"/>
        </w:rPr>
        <w:t xml:space="preserve">3.5 </w:t>
      </w:r>
      <w:r>
        <w:rPr>
          <w:rFonts w:hint="eastAsia" w:ascii="宋体" w:cs="宋体"/>
          <w:color w:val="auto"/>
          <w:sz w:val="21"/>
          <w:szCs w:val="21"/>
          <w:highlight w:val="none"/>
        </w:rPr>
        <w:tab/>
      </w:r>
      <w:r>
        <w:rPr>
          <w:rFonts w:hint="eastAsia" w:ascii="宋体" w:cs="宋体"/>
          <w:color w:val="auto"/>
          <w:sz w:val="21"/>
          <w:szCs w:val="21"/>
          <w:highlight w:val="none"/>
        </w:rPr>
        <w:t>系统短路电流：</w:t>
      </w:r>
      <w:r>
        <w:rPr>
          <w:rFonts w:hint="eastAsia" w:ascii="宋体" w:cs="宋体"/>
          <w:color w:val="auto"/>
          <w:sz w:val="21"/>
          <w:szCs w:val="21"/>
          <w:highlight w:val="none"/>
        </w:rPr>
        <w:tab/>
      </w:r>
      <w:r>
        <w:rPr>
          <w:rFonts w:hint="eastAsia" w:ascii="宋体" w:cs="宋体"/>
          <w:color w:val="auto"/>
          <w:sz w:val="21"/>
          <w:szCs w:val="21"/>
          <w:highlight w:val="none"/>
        </w:rPr>
        <w:tab/>
      </w:r>
    </w:p>
    <w:p>
      <w:pPr>
        <w:pStyle w:val="75"/>
        <w:ind w:firstLine="409" w:firstLineChars="195"/>
        <w:rPr>
          <w:rFonts w:ascii="宋体" w:cs="宋体"/>
          <w:color w:val="auto"/>
          <w:sz w:val="21"/>
          <w:szCs w:val="21"/>
          <w:highlight w:val="none"/>
        </w:rPr>
      </w:pPr>
      <w:r>
        <w:rPr>
          <w:rFonts w:hint="eastAsia" w:ascii="宋体" w:cs="宋体"/>
          <w:color w:val="auto"/>
          <w:sz w:val="21"/>
          <w:szCs w:val="21"/>
          <w:highlight w:val="none"/>
        </w:rPr>
        <w:t>3.6</w:t>
      </w:r>
      <w:r>
        <w:rPr>
          <w:rFonts w:ascii="宋体" w:cs="宋体"/>
          <w:color w:val="auto"/>
          <w:sz w:val="21"/>
          <w:szCs w:val="21"/>
          <w:highlight w:val="none"/>
        </w:rPr>
        <w:t xml:space="preserve"> </w:t>
      </w:r>
      <w:r>
        <w:rPr>
          <w:rFonts w:hint="eastAsia" w:ascii="宋体" w:cs="宋体"/>
          <w:color w:val="auto"/>
          <w:sz w:val="21"/>
          <w:szCs w:val="21"/>
          <w:highlight w:val="none"/>
        </w:rPr>
        <w:t>安装地点：户外安装。</w:t>
      </w:r>
    </w:p>
    <w:p>
      <w:pPr>
        <w:pStyle w:val="4"/>
        <w:ind w:firstLine="420"/>
        <w:jc w:val="center"/>
        <w:rPr>
          <w:rFonts w:cs="宋体"/>
          <w:color w:val="auto"/>
          <w:kern w:val="2"/>
          <w:szCs w:val="24"/>
          <w:highlight w:val="none"/>
        </w:rPr>
        <w:sectPr>
          <w:pgSz w:w="11907" w:h="16840"/>
          <w:pgMar w:top="1440" w:right="1797" w:bottom="1440" w:left="1797" w:header="851" w:footer="992" w:gutter="0"/>
          <w:cols w:space="720" w:num="1"/>
          <w:docGrid w:linePitch="380" w:charSpace="0"/>
        </w:sectPr>
      </w:pPr>
    </w:p>
    <w:p>
      <w:pPr>
        <w:pStyle w:val="4"/>
        <w:ind w:firstLine="422" w:firstLineChars="200"/>
        <w:jc w:val="center"/>
        <w:rPr>
          <w:rFonts w:cs="宋体"/>
          <w:color w:val="auto"/>
          <w:kern w:val="2"/>
          <w:sz w:val="21"/>
          <w:szCs w:val="21"/>
          <w:highlight w:val="none"/>
        </w:rPr>
      </w:pPr>
      <w:bookmarkStart w:id="436" w:name="_Toc91247582"/>
      <w:bookmarkStart w:id="437" w:name="_Toc28899"/>
      <w:r>
        <w:rPr>
          <w:rFonts w:cs="宋体"/>
          <w:color w:val="auto"/>
          <w:kern w:val="2"/>
          <w:sz w:val="21"/>
          <w:szCs w:val="21"/>
          <w:highlight w:val="none"/>
        </w:rPr>
        <w:t>第三章 技术</w:t>
      </w:r>
      <w:r>
        <w:rPr>
          <w:rFonts w:hint="eastAsia" w:cs="宋体"/>
          <w:color w:val="auto"/>
          <w:kern w:val="2"/>
          <w:sz w:val="21"/>
          <w:szCs w:val="21"/>
          <w:highlight w:val="none"/>
        </w:rPr>
        <w:t>要求</w:t>
      </w:r>
      <w:bookmarkEnd w:id="436"/>
    </w:p>
    <w:bookmarkEnd w:id="437"/>
    <w:p>
      <w:pPr>
        <w:pStyle w:val="5"/>
        <w:spacing w:beforeLines="50" w:afterLines="50"/>
        <w:rPr>
          <w:rFonts w:cs="宋体"/>
          <w:bCs/>
          <w:color w:val="auto"/>
          <w:kern w:val="21"/>
          <w:szCs w:val="24"/>
          <w:highlight w:val="none"/>
        </w:rPr>
      </w:pPr>
      <w:bookmarkStart w:id="438" w:name="_Toc29698"/>
      <w:bookmarkStart w:id="439" w:name="_Toc91247583"/>
      <w:bookmarkStart w:id="440" w:name="_Toc165125329"/>
      <w:bookmarkStart w:id="441" w:name="_Toc252017587"/>
      <w:bookmarkStart w:id="442" w:name="_Toc156016643"/>
      <w:r>
        <w:rPr>
          <w:rFonts w:hint="eastAsia"/>
          <w:color w:val="auto"/>
          <w:sz w:val="21"/>
          <w:szCs w:val="21"/>
          <w:highlight w:val="none"/>
        </w:rPr>
        <w:t>1</w:t>
      </w:r>
      <w:r>
        <w:rPr>
          <w:color w:val="auto"/>
          <w:sz w:val="21"/>
          <w:szCs w:val="21"/>
          <w:highlight w:val="none"/>
        </w:rPr>
        <w:t xml:space="preserve"> </w:t>
      </w:r>
      <w:bookmarkEnd w:id="438"/>
      <w:r>
        <w:rPr>
          <w:rFonts w:hint="eastAsia"/>
          <w:color w:val="auto"/>
          <w:sz w:val="21"/>
          <w:szCs w:val="21"/>
          <w:highlight w:val="none"/>
        </w:rPr>
        <w:t>技术要求</w:t>
      </w:r>
      <w:bookmarkEnd w:id="439"/>
    </w:p>
    <w:bookmarkEnd w:id="440"/>
    <w:bookmarkEnd w:id="441"/>
    <w:bookmarkEnd w:id="442"/>
    <w:p>
      <w:pPr>
        <w:overflowPunct w:val="0"/>
        <w:adjustRightInd w:val="0"/>
        <w:snapToGrid w:val="0"/>
        <w:jc w:val="left"/>
        <w:textAlignment w:val="baseline"/>
        <w:outlineLvl w:val="2"/>
        <w:rPr>
          <w:rFonts w:ascii="宋体" w:hAnsi="宋体"/>
          <w:color w:val="auto"/>
          <w:kern w:val="0"/>
          <w:sz w:val="21"/>
          <w:szCs w:val="21"/>
          <w:highlight w:val="none"/>
        </w:rPr>
      </w:pPr>
      <w:bookmarkStart w:id="443" w:name="_Toc12860"/>
      <w:bookmarkStart w:id="444" w:name="_Toc3229"/>
      <w:bookmarkStart w:id="445" w:name="_Toc24171"/>
      <w:bookmarkStart w:id="446" w:name="_Toc24527"/>
      <w:bookmarkStart w:id="447" w:name="_Toc13819"/>
      <w:bookmarkStart w:id="448" w:name="_Toc31974"/>
      <w:bookmarkStart w:id="449" w:name="_Toc204"/>
      <w:bookmarkStart w:id="450" w:name="_Toc474832160"/>
      <w:bookmarkStart w:id="451" w:name="_Toc24805"/>
      <w:bookmarkStart w:id="452" w:name="_Toc22440"/>
      <w:bookmarkStart w:id="453" w:name="_Toc16995"/>
      <w:bookmarkStart w:id="454" w:name="_Toc5429"/>
      <w:bookmarkStart w:id="455" w:name="_Toc32316"/>
      <w:bookmarkStart w:id="456" w:name="_Toc16547"/>
      <w:bookmarkStart w:id="457" w:name="_Toc24811"/>
      <w:bookmarkStart w:id="458" w:name="_Toc29142"/>
      <w:bookmarkStart w:id="459" w:name="_Toc17228"/>
      <w:bookmarkStart w:id="460" w:name="_Toc23623"/>
      <w:bookmarkStart w:id="461" w:name="_Toc18657"/>
      <w:bookmarkStart w:id="462" w:name="_Toc16096"/>
      <w:bookmarkStart w:id="463" w:name="_Toc21859"/>
      <w:bookmarkStart w:id="464" w:name="_Toc2955"/>
      <w:bookmarkStart w:id="465" w:name="_Toc19117"/>
      <w:bookmarkStart w:id="466" w:name="_Toc22035"/>
      <w:bookmarkStart w:id="467" w:name="_Toc28345"/>
      <w:bookmarkStart w:id="468" w:name="_Toc4323"/>
      <w:bookmarkStart w:id="469" w:name="_Toc15041"/>
      <w:bookmarkStart w:id="470" w:name="_Toc11648"/>
      <w:bookmarkStart w:id="471" w:name="_Toc29837"/>
      <w:bookmarkStart w:id="472" w:name="_Toc19462"/>
      <w:bookmarkStart w:id="473" w:name="_Toc19765"/>
      <w:bookmarkStart w:id="474" w:name="_Toc30292"/>
      <w:bookmarkStart w:id="475" w:name="_Toc5866"/>
      <w:bookmarkStart w:id="476" w:name="_Toc28526"/>
      <w:bookmarkStart w:id="477" w:name="_Toc5603"/>
      <w:bookmarkStart w:id="478" w:name="_Toc9950"/>
      <w:bookmarkStart w:id="479" w:name="_Toc467"/>
      <w:bookmarkStart w:id="480" w:name="_Toc24708"/>
      <w:r>
        <w:rPr>
          <w:rFonts w:hint="eastAsia" w:ascii="宋体" w:hAnsi="宋体"/>
          <w:color w:val="auto"/>
          <w:kern w:val="0"/>
          <w:sz w:val="21"/>
          <w:szCs w:val="21"/>
          <w:highlight w:val="none"/>
        </w:rPr>
        <w:t>1.1 逆变器</w:t>
      </w:r>
    </w:p>
    <w:p>
      <w:pPr>
        <w:ind w:firstLine="480"/>
        <w:rPr>
          <w:rFonts w:hAnsi="宋体"/>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1）</w:t>
      </w:r>
      <w:r>
        <w:rPr>
          <w:rFonts w:hint="eastAsia" w:hAnsi="宋体"/>
          <w:color w:val="auto"/>
          <w:sz w:val="21"/>
          <w:szCs w:val="21"/>
          <w:highlight w:val="none"/>
        </w:rPr>
        <w:t>稳定工作温度范围不小于-40℃至50℃。海拔3000米以下可在额定功率下稳定运行。</w:t>
      </w:r>
    </w:p>
    <w:p>
      <w:pPr>
        <w:widowControl/>
        <w:ind w:firstLine="420" w:firstLineChars="200"/>
        <w:textAlignment w:val="center"/>
        <w:rPr>
          <w:rFonts w:hAnsi="宋体"/>
          <w:color w:val="auto"/>
          <w:kern w:val="0"/>
          <w:sz w:val="21"/>
          <w:szCs w:val="21"/>
          <w:highlight w:val="none"/>
        </w:rPr>
      </w:pPr>
      <w:r>
        <w:rPr>
          <w:rFonts w:hint="eastAsia"/>
          <w:color w:val="auto"/>
          <w:kern w:val="0"/>
          <w:sz w:val="21"/>
          <w:szCs w:val="21"/>
          <w:highlight w:val="none"/>
        </w:rPr>
        <w:t>（2）</w:t>
      </w:r>
      <w:r>
        <w:rPr>
          <w:rFonts w:hint="eastAsia" w:ascii="宋体" w:hAnsi="宋体"/>
          <w:color w:val="auto"/>
          <w:kern w:val="0"/>
          <w:sz w:val="21"/>
          <w:szCs w:val="21"/>
          <w:highlight w:val="none"/>
        </w:rPr>
        <w:t>并网逆变器的功率因数和电能质量应满足电网要求，具有低电压穿越功能。各项性能指标满足国网公司《NB/T32004-2018光伏并网逆变器技术规范》、《GB/T 29319-2012光伏发电系统接入配电网技术规定》《GB/T 19964-2012光伏电站接入电力系统技术规定》、《国家电网公司光伏电站接入电网技术规定（试行）》、《IEC 62446：2009 并网光伏发电系统文件、试运行测试和检查的基本要求》、《GB/T 19939-2005：光伏系统并网技术要求》、《GB/T 20046-2006：光伏（PV）系统电网接口特性》、《IEC/TR 60755:2008 保护装置剩余电流动作的一般要求》、《CNCA/CTS0004-2009 400V以下低压并网光伏发电专用逆变器技术要求和试验方法》要求。</w:t>
      </w:r>
    </w:p>
    <w:p>
      <w:pPr>
        <w:tabs>
          <w:tab w:val="left" w:pos="1080"/>
        </w:tabs>
        <w:ind w:firstLine="480"/>
        <w:rPr>
          <w:rFonts w:hAnsi="宋体"/>
          <w:bCs/>
          <w:color w:val="auto"/>
          <w:sz w:val="21"/>
          <w:szCs w:val="24"/>
          <w:highlight w:val="none"/>
        </w:rPr>
      </w:pPr>
      <w:r>
        <w:rPr>
          <w:rFonts w:hint="eastAsia" w:hAnsi="宋体"/>
          <w:color w:val="auto"/>
          <w:sz w:val="21"/>
          <w:szCs w:val="24"/>
          <w:highlight w:val="none"/>
        </w:rPr>
        <w:t>（</w:t>
      </w:r>
      <w:r>
        <w:rPr>
          <w:rFonts w:hAnsi="宋体"/>
          <w:color w:val="auto"/>
          <w:sz w:val="21"/>
          <w:szCs w:val="24"/>
          <w:highlight w:val="none"/>
        </w:rPr>
        <w:t>3</w:t>
      </w:r>
      <w:r>
        <w:rPr>
          <w:rFonts w:hint="eastAsia" w:hAnsi="宋体"/>
          <w:color w:val="auto"/>
          <w:sz w:val="21"/>
          <w:szCs w:val="24"/>
          <w:highlight w:val="none"/>
        </w:rPr>
        <w:t>）逆变器设备应能在工程所在地的环境下使用，逆变器额定功率应满足用于本招标文件相应标段的海拔高度的要求，其内绝缘等电气性能满足要求。</w:t>
      </w:r>
      <w:r>
        <w:rPr>
          <w:rFonts w:hint="eastAsia" w:hAnsi="宋体"/>
          <w:bCs/>
          <w:color w:val="auto"/>
          <w:sz w:val="21"/>
          <w:szCs w:val="24"/>
          <w:highlight w:val="none"/>
        </w:rPr>
        <w:t>系统的设计应充分考虑电磁兼容技术，包括光电隔离、合理的接地和必须的电磁屏蔽、散热及防风沙、防盐雾腐蚀等措施。</w:t>
      </w:r>
    </w:p>
    <w:p>
      <w:pPr>
        <w:tabs>
          <w:tab w:val="left" w:pos="1080"/>
        </w:tabs>
        <w:ind w:firstLine="480"/>
        <w:rPr>
          <w:rFonts w:hAnsi="宋体"/>
          <w:bCs/>
          <w:color w:val="auto"/>
          <w:sz w:val="21"/>
          <w:szCs w:val="24"/>
          <w:highlight w:val="none"/>
        </w:rPr>
      </w:pPr>
      <w:r>
        <w:rPr>
          <w:rFonts w:hint="eastAsia" w:hAnsi="宋体"/>
          <w:color w:val="auto"/>
          <w:sz w:val="21"/>
          <w:szCs w:val="24"/>
          <w:highlight w:val="none"/>
        </w:rPr>
        <w:t>（</w:t>
      </w:r>
      <w:r>
        <w:rPr>
          <w:rFonts w:hAnsi="宋体"/>
          <w:color w:val="auto"/>
          <w:sz w:val="21"/>
          <w:szCs w:val="24"/>
          <w:highlight w:val="none"/>
        </w:rPr>
        <w:t>4</w:t>
      </w:r>
      <w:r>
        <w:rPr>
          <w:rFonts w:hint="eastAsia" w:hAnsi="宋体"/>
          <w:color w:val="auto"/>
          <w:sz w:val="21"/>
          <w:szCs w:val="24"/>
          <w:highlight w:val="none"/>
        </w:rPr>
        <w:t>）</w:t>
      </w:r>
      <w:r>
        <w:rPr>
          <w:rFonts w:hint="eastAsia" w:hAnsi="宋体"/>
          <w:color w:val="auto"/>
          <w:kern w:val="28"/>
          <w:sz w:val="21"/>
          <w:szCs w:val="24"/>
          <w:highlight w:val="none"/>
        </w:rPr>
        <w:t>系统应能在电子噪声，射频干扰，强电磁场等恶劣的电磁环境中安全可靠的连续运行，且不降低系统的性能。</w:t>
      </w:r>
      <w:r>
        <w:rPr>
          <w:rFonts w:hint="eastAsia" w:hAnsi="宋体"/>
          <w:bCs/>
          <w:color w:val="auto"/>
          <w:sz w:val="21"/>
          <w:szCs w:val="24"/>
          <w:highlight w:val="none"/>
        </w:rPr>
        <w:t>设备应满足抗电磁场干扰及静电影响的要求，在雷击过电压及操作过电压发生及一次设备出现短路故障时，设备不应误动作。</w:t>
      </w:r>
    </w:p>
    <w:p>
      <w:pPr>
        <w:tabs>
          <w:tab w:val="left" w:pos="1080"/>
        </w:tabs>
        <w:ind w:firstLine="480"/>
        <w:rPr>
          <w:rFonts w:hAnsi="宋体"/>
          <w:color w:val="auto"/>
          <w:sz w:val="21"/>
          <w:szCs w:val="24"/>
          <w:highlight w:val="none"/>
        </w:rPr>
      </w:pPr>
      <w:r>
        <w:rPr>
          <w:rFonts w:hint="eastAsia" w:hAnsi="宋体"/>
          <w:color w:val="auto"/>
          <w:sz w:val="21"/>
          <w:szCs w:val="24"/>
          <w:highlight w:val="none"/>
        </w:rPr>
        <w:t>（</w:t>
      </w:r>
      <w:r>
        <w:rPr>
          <w:rFonts w:hAnsi="宋体"/>
          <w:color w:val="auto"/>
          <w:sz w:val="21"/>
          <w:szCs w:val="24"/>
          <w:highlight w:val="none"/>
        </w:rPr>
        <w:t>5</w:t>
      </w:r>
      <w:r>
        <w:rPr>
          <w:rFonts w:hint="eastAsia" w:hAnsi="宋体"/>
          <w:color w:val="auto"/>
          <w:sz w:val="21"/>
          <w:szCs w:val="24"/>
          <w:highlight w:val="none"/>
        </w:rPr>
        <w:t>）投标</w:t>
      </w:r>
      <w:r>
        <w:rPr>
          <w:rFonts w:hint="eastAsia" w:hAnsi="宋体"/>
          <w:bCs/>
          <w:color w:val="auto"/>
          <w:sz w:val="21"/>
          <w:szCs w:val="24"/>
          <w:highlight w:val="none"/>
        </w:rPr>
        <w:t>方应提出整体系统一次、二次设备，软硬件协调配合措施。各敏感电子设备、各子系统及整个系统电磁兼容措施。</w:t>
      </w:r>
    </w:p>
    <w:p>
      <w:pPr>
        <w:ind w:firstLine="480"/>
        <w:rPr>
          <w:rFonts w:hAnsi="宋体"/>
          <w:color w:val="auto"/>
          <w:sz w:val="21"/>
          <w:szCs w:val="24"/>
          <w:highlight w:val="none"/>
        </w:rPr>
      </w:pPr>
      <w:r>
        <w:rPr>
          <w:rFonts w:hAnsi="宋体"/>
          <w:color w:val="auto"/>
          <w:sz w:val="21"/>
          <w:szCs w:val="24"/>
          <w:highlight w:val="none"/>
        </w:rPr>
        <w:t>（6）逆变器的安装应简便，无特殊性要求。</w:t>
      </w:r>
    </w:p>
    <w:p>
      <w:pPr>
        <w:ind w:firstLine="480"/>
        <w:rPr>
          <w:rFonts w:hAnsi="宋体"/>
          <w:color w:val="auto"/>
          <w:sz w:val="21"/>
          <w:szCs w:val="24"/>
          <w:highlight w:val="none"/>
        </w:rPr>
      </w:pPr>
      <w:r>
        <w:rPr>
          <w:rFonts w:hAnsi="宋体"/>
          <w:color w:val="auto"/>
          <w:sz w:val="21"/>
          <w:szCs w:val="24"/>
          <w:highlight w:val="none"/>
        </w:rPr>
        <w:t>（7）逆变器应采用太阳电池组件最大功率跟踪技术(MPPT)。</w:t>
      </w:r>
    </w:p>
    <w:p>
      <w:pPr>
        <w:ind w:firstLine="480"/>
        <w:rPr>
          <w:rFonts w:hAnsi="宋体"/>
          <w:color w:val="auto"/>
          <w:sz w:val="21"/>
          <w:szCs w:val="24"/>
          <w:highlight w:val="none"/>
        </w:rPr>
      </w:pPr>
      <w:r>
        <w:rPr>
          <w:rFonts w:hAnsi="宋体"/>
          <w:color w:val="auto"/>
          <w:sz w:val="21"/>
          <w:szCs w:val="24"/>
          <w:highlight w:val="none"/>
        </w:rPr>
        <w:t>（8</w:t>
      </w:r>
      <w:r>
        <w:rPr>
          <w:rFonts w:hint="eastAsia" w:hAnsi="宋体"/>
          <w:color w:val="auto"/>
          <w:sz w:val="21"/>
          <w:szCs w:val="24"/>
          <w:highlight w:val="none"/>
        </w:rPr>
        <w:t>）</w:t>
      </w:r>
      <w:r>
        <w:rPr>
          <w:rFonts w:hAnsi="宋体"/>
          <w:color w:val="auto"/>
          <w:sz w:val="21"/>
          <w:szCs w:val="24"/>
          <w:highlight w:val="none"/>
        </w:rPr>
        <w:t>逆变器</w:t>
      </w:r>
      <w:r>
        <w:rPr>
          <w:rFonts w:hint="eastAsia" w:hAnsi="宋体"/>
          <w:color w:val="auto"/>
          <w:sz w:val="21"/>
          <w:szCs w:val="24"/>
          <w:highlight w:val="none"/>
        </w:rPr>
        <w:t>应具有电网异常保护、过/欠压保护、过/欠频保护、防孤岛效应保护、恢复并网保护、过流保护、防反放电和极性反接保护、电网相序保护、直流接地保护、内部故障保护、过热保护、降额警告、参数设置保护、保护后的自动电气隔离功能、光伏并网逆变器的谐振抑制功能。</w:t>
      </w:r>
    </w:p>
    <w:p>
      <w:pPr>
        <w:ind w:firstLine="480"/>
        <w:rPr>
          <w:rFonts w:hAnsi="宋体"/>
          <w:color w:val="auto"/>
          <w:sz w:val="21"/>
          <w:szCs w:val="24"/>
          <w:highlight w:val="none"/>
        </w:rPr>
      </w:pPr>
      <w:r>
        <w:rPr>
          <w:rFonts w:hint="eastAsia" w:hAnsi="宋体"/>
          <w:color w:val="auto"/>
          <w:sz w:val="21"/>
          <w:szCs w:val="24"/>
          <w:highlight w:val="none"/>
        </w:rPr>
        <w:t>（</w:t>
      </w:r>
      <w:r>
        <w:rPr>
          <w:rFonts w:hAnsi="宋体"/>
          <w:color w:val="auto"/>
          <w:sz w:val="21"/>
          <w:szCs w:val="24"/>
          <w:highlight w:val="none"/>
        </w:rPr>
        <w:t>9</w:t>
      </w:r>
      <w:r>
        <w:rPr>
          <w:rFonts w:hint="eastAsia" w:hAnsi="宋体"/>
          <w:color w:val="auto"/>
          <w:sz w:val="21"/>
          <w:szCs w:val="24"/>
          <w:highlight w:val="none"/>
        </w:rPr>
        <w:t>）逆变器应具有通讯接口，能将相关的测量保护信号上传至监控系统，并能实现远方控制。</w:t>
      </w:r>
    </w:p>
    <w:p>
      <w:pPr>
        <w:ind w:firstLine="480"/>
        <w:rPr>
          <w:rFonts w:hAnsi="宋体"/>
          <w:color w:val="auto"/>
          <w:sz w:val="21"/>
          <w:szCs w:val="24"/>
          <w:highlight w:val="none"/>
        </w:rPr>
      </w:pPr>
      <w:r>
        <w:rPr>
          <w:rFonts w:hint="eastAsia" w:hAnsi="宋体"/>
          <w:color w:val="auto"/>
          <w:sz w:val="21"/>
          <w:szCs w:val="24"/>
          <w:highlight w:val="none"/>
        </w:rPr>
        <w:t>（</w:t>
      </w:r>
      <w:r>
        <w:rPr>
          <w:rFonts w:hAnsi="宋体"/>
          <w:color w:val="auto"/>
          <w:sz w:val="21"/>
          <w:szCs w:val="24"/>
          <w:highlight w:val="none"/>
        </w:rPr>
        <w:t>10</w:t>
      </w:r>
      <w:r>
        <w:rPr>
          <w:rFonts w:hint="eastAsia" w:hAnsi="宋体"/>
          <w:color w:val="auto"/>
          <w:sz w:val="21"/>
          <w:szCs w:val="24"/>
          <w:highlight w:val="none"/>
        </w:rPr>
        <w:t>）逆变器应能通过RS485、PLC等接口向监控系统上传当前发电功率、日发电量、累计发电量、设备状态、电流、电压、逆变器机内温度、频率、故障信息等信号，并负责配合监控系统厂家实现通讯。</w:t>
      </w:r>
      <w:r>
        <w:rPr>
          <w:rFonts w:hint="eastAsia" w:hAnsi="宋体"/>
          <w:color w:val="auto"/>
          <w:sz w:val="21"/>
          <w:szCs w:val="24"/>
          <w:highlight w:val="none"/>
        </w:rPr>
        <w:t>本项目逆变器采用PLC通讯，预留RS485接口。</w:t>
      </w:r>
    </w:p>
    <w:p>
      <w:pPr>
        <w:tabs>
          <w:tab w:val="left" w:pos="1080"/>
        </w:tabs>
        <w:ind w:firstLine="480"/>
        <w:rPr>
          <w:rFonts w:hAnsi="宋体"/>
          <w:color w:val="auto"/>
          <w:sz w:val="21"/>
          <w:szCs w:val="24"/>
          <w:highlight w:val="none"/>
        </w:rPr>
      </w:pPr>
      <w:r>
        <w:rPr>
          <w:rFonts w:hint="eastAsia" w:hAnsi="宋体"/>
          <w:color w:val="auto"/>
          <w:sz w:val="21"/>
          <w:szCs w:val="24"/>
          <w:highlight w:val="none"/>
        </w:rPr>
        <w:t>（</w:t>
      </w:r>
      <w:r>
        <w:rPr>
          <w:rFonts w:hAnsi="宋体"/>
          <w:color w:val="auto"/>
          <w:sz w:val="21"/>
          <w:szCs w:val="24"/>
          <w:highlight w:val="none"/>
        </w:rPr>
        <w:t>11</w:t>
      </w:r>
      <w:r>
        <w:rPr>
          <w:rFonts w:hint="eastAsia" w:hAnsi="宋体"/>
          <w:color w:val="auto"/>
          <w:sz w:val="21"/>
          <w:szCs w:val="24"/>
          <w:highlight w:val="none"/>
        </w:rPr>
        <w:t>）逆变器是光伏电站的主要设备，应当提供具有ISO导则25资质的专业测试机构出具的符合国家标准（或IEC标准）的测试报告（有国家标准或IEC标准的应给出标准号）及通过国际认证（TUV、CE）。</w:t>
      </w:r>
    </w:p>
    <w:p>
      <w:pPr>
        <w:tabs>
          <w:tab w:val="left" w:pos="1080"/>
        </w:tabs>
        <w:ind w:firstLine="480"/>
        <w:rPr>
          <w:rFonts w:hAnsi="宋体"/>
          <w:color w:val="auto"/>
          <w:sz w:val="21"/>
          <w:szCs w:val="24"/>
          <w:highlight w:val="none"/>
        </w:rPr>
      </w:pPr>
      <w:r>
        <w:rPr>
          <w:rFonts w:hint="eastAsia" w:hAnsi="宋体"/>
          <w:color w:val="auto"/>
          <w:sz w:val="21"/>
          <w:szCs w:val="24"/>
          <w:highlight w:val="none"/>
        </w:rPr>
        <w:t>（</w:t>
      </w:r>
      <w:r>
        <w:rPr>
          <w:rFonts w:hAnsi="宋体"/>
          <w:color w:val="auto"/>
          <w:sz w:val="21"/>
          <w:szCs w:val="24"/>
          <w:highlight w:val="none"/>
        </w:rPr>
        <w:t>12</w:t>
      </w:r>
      <w:r>
        <w:rPr>
          <w:rFonts w:hint="eastAsia" w:hAnsi="宋体"/>
          <w:color w:val="auto"/>
          <w:sz w:val="21"/>
          <w:szCs w:val="24"/>
          <w:highlight w:val="none"/>
        </w:rPr>
        <w:t>）光伏并网逆变器具备防PID功能。</w:t>
      </w:r>
    </w:p>
    <w:p>
      <w:pPr>
        <w:ind w:firstLine="482"/>
        <w:rPr>
          <w:rFonts w:hAnsi="宋体"/>
          <w:color w:val="auto"/>
          <w:sz w:val="21"/>
          <w:szCs w:val="24"/>
          <w:highlight w:val="none"/>
        </w:rPr>
      </w:pPr>
      <w:r>
        <w:rPr>
          <w:rFonts w:hint="eastAsia" w:hAnsi="宋体"/>
          <w:color w:val="auto"/>
          <w:sz w:val="21"/>
          <w:szCs w:val="24"/>
          <w:highlight w:val="none"/>
        </w:rPr>
        <w:t>（</w:t>
      </w:r>
      <w:r>
        <w:rPr>
          <w:rFonts w:hAnsi="宋体"/>
          <w:color w:val="auto"/>
          <w:sz w:val="21"/>
          <w:szCs w:val="24"/>
          <w:highlight w:val="none"/>
        </w:rPr>
        <w:t>13</w:t>
      </w:r>
      <w:r>
        <w:rPr>
          <w:rFonts w:hint="eastAsia" w:hAnsi="宋体"/>
          <w:color w:val="auto"/>
          <w:sz w:val="21"/>
          <w:szCs w:val="24"/>
          <w:highlight w:val="none"/>
        </w:rPr>
        <w:t>）电流和电压的谐波水平应较低；较高的谐波将增加对所连接设备产生有害影响的可能性。谐波电压和电流的允许水平取决于配电系统的特性、供电类型、所连接的负载、设备，以及电网的现行规定。光伏系统的输出应有较低的电流畸变，以确保对连接的电网的其他设备不造成不利影响。总谐波电流应小于逆变器额定输出的5%。各次谐波应限制在表1所列的百分比之内。此范围内的偶次谐波应小于低的奇次谐波限值的25%。</w:t>
      </w:r>
    </w:p>
    <w:p>
      <w:pPr>
        <w:jc w:val="center"/>
        <w:rPr>
          <w:rFonts w:hAnsi="宋体"/>
          <w:color w:val="auto"/>
          <w:sz w:val="21"/>
          <w:szCs w:val="24"/>
          <w:highlight w:val="none"/>
        </w:rPr>
      </w:pPr>
      <w:r>
        <w:rPr>
          <w:rFonts w:hint="eastAsia" w:hAnsi="宋体"/>
          <w:color w:val="auto"/>
          <w:sz w:val="21"/>
          <w:szCs w:val="24"/>
          <w:highlight w:val="none"/>
        </w:rPr>
        <w:t>表1 奇次谐波电流畸变限值</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2504"/>
        <w:gridCol w:w="2316"/>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vAlign w:val="center"/>
          </w:tcPr>
          <w:p>
            <w:pPr>
              <w:tabs>
                <w:tab w:val="left" w:pos="4312"/>
                <w:tab w:val="right" w:leader="dot" w:pos="8494"/>
              </w:tabs>
              <w:snapToGrid w:val="0"/>
              <w:ind w:firstLine="210" w:firstLineChars="100"/>
              <w:jc w:val="center"/>
              <w:rPr>
                <w:rFonts w:hAnsi="宋体"/>
                <w:color w:val="auto"/>
                <w:sz w:val="21"/>
                <w:szCs w:val="24"/>
                <w:highlight w:val="none"/>
              </w:rPr>
            </w:pPr>
            <w:r>
              <w:rPr>
                <w:rFonts w:hint="eastAsia" w:hAnsi="宋体"/>
                <w:color w:val="auto"/>
                <w:sz w:val="21"/>
                <w:szCs w:val="24"/>
                <w:highlight w:val="none"/>
              </w:rPr>
              <w:t>奇次谐波次数</w:t>
            </w:r>
          </w:p>
        </w:tc>
        <w:tc>
          <w:tcPr>
            <w:tcW w:w="2504" w:type="dxa"/>
            <w:vAlign w:val="center"/>
          </w:tcPr>
          <w:p>
            <w:pPr>
              <w:tabs>
                <w:tab w:val="left" w:pos="4312"/>
                <w:tab w:val="right" w:leader="dot" w:pos="8494"/>
              </w:tabs>
              <w:snapToGrid w:val="0"/>
              <w:jc w:val="center"/>
              <w:rPr>
                <w:rFonts w:hAnsi="宋体"/>
                <w:color w:val="auto"/>
                <w:sz w:val="21"/>
                <w:szCs w:val="24"/>
                <w:highlight w:val="none"/>
              </w:rPr>
            </w:pPr>
            <w:r>
              <w:rPr>
                <w:rFonts w:hint="eastAsia" w:hAnsi="宋体"/>
                <w:color w:val="auto"/>
                <w:sz w:val="21"/>
                <w:szCs w:val="24"/>
                <w:highlight w:val="none"/>
              </w:rPr>
              <w:t>谐波电流限制（%）</w:t>
            </w:r>
          </w:p>
        </w:tc>
        <w:tc>
          <w:tcPr>
            <w:tcW w:w="2316" w:type="dxa"/>
            <w:vAlign w:val="center"/>
          </w:tcPr>
          <w:p>
            <w:pPr>
              <w:tabs>
                <w:tab w:val="left" w:pos="4312"/>
                <w:tab w:val="right" w:leader="dot" w:pos="8494"/>
              </w:tabs>
              <w:snapToGrid w:val="0"/>
              <w:ind w:firstLine="210" w:firstLineChars="100"/>
              <w:jc w:val="center"/>
              <w:rPr>
                <w:rFonts w:hAnsi="宋体"/>
                <w:color w:val="auto"/>
                <w:sz w:val="21"/>
                <w:szCs w:val="24"/>
                <w:highlight w:val="none"/>
              </w:rPr>
            </w:pPr>
            <w:r>
              <w:rPr>
                <w:rFonts w:hint="eastAsia" w:hAnsi="宋体"/>
                <w:color w:val="auto"/>
                <w:sz w:val="21"/>
                <w:szCs w:val="24"/>
                <w:highlight w:val="none"/>
              </w:rPr>
              <w:t>偶次谐波次数</w:t>
            </w:r>
          </w:p>
        </w:tc>
        <w:tc>
          <w:tcPr>
            <w:tcW w:w="1940" w:type="dxa"/>
            <w:vAlign w:val="center"/>
          </w:tcPr>
          <w:p>
            <w:pPr>
              <w:tabs>
                <w:tab w:val="left" w:pos="4312"/>
                <w:tab w:val="right" w:leader="dot" w:pos="8494"/>
              </w:tabs>
              <w:snapToGrid w:val="0"/>
              <w:jc w:val="center"/>
              <w:rPr>
                <w:rFonts w:hAnsi="宋体"/>
                <w:color w:val="auto"/>
                <w:sz w:val="21"/>
                <w:szCs w:val="24"/>
                <w:highlight w:val="none"/>
              </w:rPr>
            </w:pPr>
            <w:r>
              <w:rPr>
                <w:rFonts w:hint="eastAsia" w:hAnsi="宋体"/>
                <w:color w:val="auto"/>
                <w:sz w:val="21"/>
                <w:szCs w:val="24"/>
                <w:highlight w:val="none"/>
              </w:rPr>
              <w:t>谐波电流限制（%）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pPr>
              <w:tabs>
                <w:tab w:val="left" w:pos="4312"/>
                <w:tab w:val="right" w:leader="dot" w:pos="8494"/>
              </w:tabs>
              <w:snapToGrid w:val="0"/>
              <w:ind w:firstLine="315" w:firstLineChars="150"/>
              <w:jc w:val="center"/>
              <w:rPr>
                <w:rFonts w:hAnsi="宋体"/>
                <w:color w:val="auto"/>
                <w:sz w:val="21"/>
                <w:szCs w:val="24"/>
                <w:highlight w:val="none"/>
              </w:rPr>
            </w:pPr>
            <w:r>
              <w:rPr>
                <w:rFonts w:hint="eastAsia" w:hAnsi="宋体"/>
                <w:color w:val="auto"/>
                <w:sz w:val="21"/>
                <w:szCs w:val="24"/>
                <w:highlight w:val="none"/>
              </w:rPr>
              <w:t>3次至9次</w:t>
            </w:r>
          </w:p>
        </w:tc>
        <w:tc>
          <w:tcPr>
            <w:tcW w:w="2504" w:type="dxa"/>
          </w:tcPr>
          <w:p>
            <w:pPr>
              <w:tabs>
                <w:tab w:val="left" w:pos="4312"/>
                <w:tab w:val="right" w:leader="dot" w:pos="8494"/>
              </w:tabs>
              <w:snapToGrid w:val="0"/>
              <w:ind w:firstLine="525" w:firstLineChars="250"/>
              <w:rPr>
                <w:rFonts w:hAnsi="宋体"/>
                <w:color w:val="auto"/>
                <w:sz w:val="21"/>
                <w:szCs w:val="24"/>
                <w:highlight w:val="none"/>
              </w:rPr>
            </w:pPr>
            <w:r>
              <w:rPr>
                <w:rFonts w:hint="eastAsia" w:hAnsi="宋体"/>
                <w:color w:val="auto"/>
                <w:sz w:val="21"/>
                <w:szCs w:val="24"/>
                <w:highlight w:val="none"/>
              </w:rPr>
              <w:t>4.0</w:t>
            </w:r>
          </w:p>
        </w:tc>
        <w:tc>
          <w:tcPr>
            <w:tcW w:w="2316" w:type="dxa"/>
          </w:tcPr>
          <w:p>
            <w:pPr>
              <w:tabs>
                <w:tab w:val="left" w:pos="4312"/>
                <w:tab w:val="right" w:leader="dot" w:pos="8494"/>
              </w:tabs>
              <w:snapToGrid w:val="0"/>
              <w:ind w:firstLine="315" w:firstLineChars="150"/>
              <w:jc w:val="center"/>
              <w:rPr>
                <w:rFonts w:hAnsi="宋体"/>
                <w:color w:val="auto"/>
                <w:sz w:val="21"/>
                <w:szCs w:val="24"/>
                <w:highlight w:val="none"/>
              </w:rPr>
            </w:pPr>
            <w:r>
              <w:rPr>
                <w:rFonts w:hint="eastAsia" w:hAnsi="宋体"/>
                <w:color w:val="auto"/>
                <w:sz w:val="21"/>
                <w:szCs w:val="24"/>
                <w:highlight w:val="none"/>
              </w:rPr>
              <w:t>2次</w:t>
            </w:r>
            <w:r>
              <w:rPr>
                <w:rFonts w:hAnsi="宋体"/>
                <w:color w:val="auto"/>
                <w:sz w:val="21"/>
                <w:szCs w:val="24"/>
                <w:highlight w:val="none"/>
              </w:rPr>
              <w:t>-</w:t>
            </w:r>
            <w:r>
              <w:rPr>
                <w:rFonts w:hint="eastAsia" w:hAnsi="宋体"/>
                <w:color w:val="auto"/>
                <w:sz w:val="21"/>
                <w:szCs w:val="24"/>
                <w:highlight w:val="none"/>
              </w:rPr>
              <w:t>10次</w:t>
            </w:r>
          </w:p>
        </w:tc>
        <w:tc>
          <w:tcPr>
            <w:tcW w:w="1940" w:type="dxa"/>
          </w:tcPr>
          <w:p>
            <w:pPr>
              <w:tabs>
                <w:tab w:val="left" w:pos="4312"/>
                <w:tab w:val="right" w:leader="dot" w:pos="8494"/>
              </w:tabs>
              <w:snapToGrid w:val="0"/>
              <w:ind w:firstLine="525" w:firstLineChars="250"/>
              <w:rPr>
                <w:rFonts w:hAnsi="宋体"/>
                <w:color w:val="auto"/>
                <w:sz w:val="21"/>
                <w:szCs w:val="24"/>
                <w:highlight w:val="none"/>
              </w:rPr>
            </w:pPr>
            <w:r>
              <w:rPr>
                <w:rFonts w:hint="eastAsia" w:hAnsi="宋体"/>
                <w:color w:val="auto"/>
                <w:sz w:val="21"/>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pPr>
              <w:tabs>
                <w:tab w:val="left" w:pos="4312"/>
                <w:tab w:val="right" w:leader="dot" w:pos="8494"/>
              </w:tabs>
              <w:snapToGrid w:val="0"/>
              <w:ind w:firstLine="315" w:firstLineChars="150"/>
              <w:jc w:val="center"/>
              <w:rPr>
                <w:rFonts w:hAnsi="宋体"/>
                <w:color w:val="auto"/>
                <w:sz w:val="21"/>
                <w:szCs w:val="24"/>
                <w:highlight w:val="none"/>
              </w:rPr>
            </w:pPr>
            <w:r>
              <w:rPr>
                <w:rFonts w:hint="eastAsia" w:hAnsi="宋体"/>
                <w:color w:val="auto"/>
                <w:sz w:val="21"/>
                <w:szCs w:val="24"/>
                <w:highlight w:val="none"/>
              </w:rPr>
              <w:t>11次至15次</w:t>
            </w:r>
          </w:p>
        </w:tc>
        <w:tc>
          <w:tcPr>
            <w:tcW w:w="2504" w:type="dxa"/>
          </w:tcPr>
          <w:p>
            <w:pPr>
              <w:tabs>
                <w:tab w:val="left" w:pos="4312"/>
                <w:tab w:val="right" w:leader="dot" w:pos="8494"/>
              </w:tabs>
              <w:snapToGrid w:val="0"/>
              <w:ind w:firstLine="525" w:firstLineChars="250"/>
              <w:rPr>
                <w:rFonts w:hAnsi="宋体"/>
                <w:color w:val="auto"/>
                <w:sz w:val="21"/>
                <w:szCs w:val="24"/>
                <w:highlight w:val="none"/>
              </w:rPr>
            </w:pPr>
            <w:r>
              <w:rPr>
                <w:rFonts w:hint="eastAsia" w:hAnsi="宋体"/>
                <w:color w:val="auto"/>
                <w:sz w:val="21"/>
                <w:szCs w:val="24"/>
                <w:highlight w:val="none"/>
              </w:rPr>
              <w:t>2.0</w:t>
            </w:r>
          </w:p>
        </w:tc>
        <w:tc>
          <w:tcPr>
            <w:tcW w:w="2316" w:type="dxa"/>
          </w:tcPr>
          <w:p>
            <w:pPr>
              <w:tabs>
                <w:tab w:val="left" w:pos="4312"/>
                <w:tab w:val="right" w:leader="dot" w:pos="8494"/>
              </w:tabs>
              <w:snapToGrid w:val="0"/>
              <w:ind w:firstLine="315" w:firstLineChars="150"/>
              <w:jc w:val="center"/>
              <w:rPr>
                <w:rFonts w:hAnsi="宋体"/>
                <w:color w:val="auto"/>
                <w:sz w:val="21"/>
                <w:szCs w:val="24"/>
                <w:highlight w:val="none"/>
              </w:rPr>
            </w:pPr>
            <w:r>
              <w:rPr>
                <w:rFonts w:hint="eastAsia" w:hAnsi="宋体"/>
                <w:color w:val="auto"/>
                <w:sz w:val="21"/>
                <w:szCs w:val="24"/>
                <w:highlight w:val="none"/>
              </w:rPr>
              <w:t>12次</w:t>
            </w:r>
            <w:r>
              <w:rPr>
                <w:rFonts w:hAnsi="宋体"/>
                <w:color w:val="auto"/>
                <w:sz w:val="21"/>
                <w:szCs w:val="24"/>
                <w:highlight w:val="none"/>
              </w:rPr>
              <w:t>-</w:t>
            </w:r>
            <w:r>
              <w:rPr>
                <w:rFonts w:hint="eastAsia" w:hAnsi="宋体"/>
                <w:color w:val="auto"/>
                <w:sz w:val="21"/>
                <w:szCs w:val="24"/>
                <w:highlight w:val="none"/>
              </w:rPr>
              <w:t>16次</w:t>
            </w:r>
          </w:p>
        </w:tc>
        <w:tc>
          <w:tcPr>
            <w:tcW w:w="1940" w:type="dxa"/>
          </w:tcPr>
          <w:p>
            <w:pPr>
              <w:tabs>
                <w:tab w:val="left" w:pos="4312"/>
                <w:tab w:val="right" w:leader="dot" w:pos="8494"/>
              </w:tabs>
              <w:snapToGrid w:val="0"/>
              <w:ind w:firstLine="525" w:firstLineChars="250"/>
              <w:rPr>
                <w:rFonts w:hAnsi="宋体"/>
                <w:color w:val="auto"/>
                <w:sz w:val="21"/>
                <w:szCs w:val="24"/>
                <w:highlight w:val="none"/>
              </w:rPr>
            </w:pPr>
            <w:r>
              <w:rPr>
                <w:rFonts w:hint="eastAsia" w:hAnsi="宋体"/>
                <w:color w:val="auto"/>
                <w:sz w:val="21"/>
                <w:szCs w:val="24"/>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pPr>
              <w:tabs>
                <w:tab w:val="left" w:pos="4312"/>
                <w:tab w:val="right" w:leader="dot" w:pos="8494"/>
              </w:tabs>
              <w:snapToGrid w:val="0"/>
              <w:ind w:firstLine="315" w:firstLineChars="150"/>
              <w:jc w:val="center"/>
              <w:rPr>
                <w:rFonts w:hAnsi="宋体"/>
                <w:color w:val="auto"/>
                <w:sz w:val="21"/>
                <w:szCs w:val="24"/>
                <w:highlight w:val="none"/>
              </w:rPr>
            </w:pPr>
            <w:r>
              <w:rPr>
                <w:rFonts w:hint="eastAsia" w:hAnsi="宋体"/>
                <w:color w:val="auto"/>
                <w:sz w:val="21"/>
                <w:szCs w:val="24"/>
                <w:highlight w:val="none"/>
              </w:rPr>
              <w:t>17次至21次</w:t>
            </w:r>
          </w:p>
        </w:tc>
        <w:tc>
          <w:tcPr>
            <w:tcW w:w="2504" w:type="dxa"/>
          </w:tcPr>
          <w:p>
            <w:pPr>
              <w:tabs>
                <w:tab w:val="left" w:pos="4312"/>
                <w:tab w:val="right" w:leader="dot" w:pos="8494"/>
              </w:tabs>
              <w:snapToGrid w:val="0"/>
              <w:ind w:firstLine="525" w:firstLineChars="250"/>
              <w:rPr>
                <w:rFonts w:hAnsi="宋体"/>
                <w:color w:val="auto"/>
                <w:sz w:val="21"/>
                <w:szCs w:val="24"/>
                <w:highlight w:val="none"/>
              </w:rPr>
            </w:pPr>
            <w:r>
              <w:rPr>
                <w:rFonts w:hint="eastAsia" w:hAnsi="宋体"/>
                <w:color w:val="auto"/>
                <w:sz w:val="21"/>
                <w:szCs w:val="24"/>
                <w:highlight w:val="none"/>
              </w:rPr>
              <w:t>1.5</w:t>
            </w:r>
          </w:p>
        </w:tc>
        <w:tc>
          <w:tcPr>
            <w:tcW w:w="2316" w:type="dxa"/>
          </w:tcPr>
          <w:p>
            <w:pPr>
              <w:tabs>
                <w:tab w:val="left" w:pos="4312"/>
                <w:tab w:val="right" w:leader="dot" w:pos="8494"/>
              </w:tabs>
              <w:snapToGrid w:val="0"/>
              <w:ind w:firstLine="315" w:firstLineChars="150"/>
              <w:jc w:val="center"/>
              <w:rPr>
                <w:rFonts w:hAnsi="宋体"/>
                <w:color w:val="auto"/>
                <w:sz w:val="21"/>
                <w:szCs w:val="24"/>
                <w:highlight w:val="none"/>
              </w:rPr>
            </w:pPr>
            <w:r>
              <w:rPr>
                <w:rFonts w:hint="eastAsia" w:hAnsi="宋体"/>
                <w:color w:val="auto"/>
                <w:sz w:val="21"/>
                <w:szCs w:val="24"/>
                <w:highlight w:val="none"/>
              </w:rPr>
              <w:t>18次</w:t>
            </w:r>
            <w:r>
              <w:rPr>
                <w:rFonts w:hAnsi="宋体"/>
                <w:color w:val="auto"/>
                <w:sz w:val="21"/>
                <w:szCs w:val="24"/>
                <w:highlight w:val="none"/>
              </w:rPr>
              <w:t xml:space="preserve"> -</w:t>
            </w:r>
            <w:r>
              <w:rPr>
                <w:rFonts w:hint="eastAsia" w:hAnsi="宋体"/>
                <w:color w:val="auto"/>
                <w:sz w:val="21"/>
                <w:szCs w:val="24"/>
                <w:highlight w:val="none"/>
              </w:rPr>
              <w:t>22次</w:t>
            </w:r>
          </w:p>
        </w:tc>
        <w:tc>
          <w:tcPr>
            <w:tcW w:w="1940" w:type="dxa"/>
          </w:tcPr>
          <w:p>
            <w:pPr>
              <w:tabs>
                <w:tab w:val="left" w:pos="4312"/>
                <w:tab w:val="right" w:leader="dot" w:pos="8494"/>
              </w:tabs>
              <w:snapToGrid w:val="0"/>
              <w:ind w:firstLine="525" w:firstLineChars="250"/>
              <w:rPr>
                <w:rFonts w:hAnsi="宋体"/>
                <w:color w:val="auto"/>
                <w:sz w:val="21"/>
                <w:szCs w:val="24"/>
                <w:highlight w:val="none"/>
              </w:rPr>
            </w:pPr>
            <w:r>
              <w:rPr>
                <w:rFonts w:hint="eastAsia" w:hAnsi="宋体"/>
                <w:color w:val="auto"/>
                <w:sz w:val="21"/>
                <w:szCs w:val="24"/>
                <w:highlight w:val="none"/>
              </w:rPr>
              <w:t>0.375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26" w:type="dxa"/>
          </w:tcPr>
          <w:p>
            <w:pPr>
              <w:tabs>
                <w:tab w:val="left" w:pos="4312"/>
                <w:tab w:val="right" w:leader="dot" w:pos="8494"/>
              </w:tabs>
              <w:snapToGrid w:val="0"/>
              <w:ind w:firstLine="315" w:firstLineChars="150"/>
              <w:jc w:val="center"/>
              <w:rPr>
                <w:rFonts w:hAnsi="宋体"/>
                <w:color w:val="auto"/>
                <w:sz w:val="21"/>
                <w:szCs w:val="24"/>
                <w:highlight w:val="none"/>
              </w:rPr>
            </w:pPr>
            <w:r>
              <w:rPr>
                <w:rFonts w:hint="eastAsia" w:hAnsi="宋体"/>
                <w:color w:val="auto"/>
                <w:sz w:val="21"/>
                <w:szCs w:val="24"/>
                <w:highlight w:val="none"/>
              </w:rPr>
              <w:t>23次至33次</w:t>
            </w:r>
          </w:p>
        </w:tc>
        <w:tc>
          <w:tcPr>
            <w:tcW w:w="2504" w:type="dxa"/>
          </w:tcPr>
          <w:p>
            <w:pPr>
              <w:tabs>
                <w:tab w:val="left" w:pos="4312"/>
                <w:tab w:val="right" w:leader="dot" w:pos="8494"/>
              </w:tabs>
              <w:snapToGrid w:val="0"/>
              <w:ind w:firstLine="525" w:firstLineChars="250"/>
              <w:rPr>
                <w:rFonts w:hAnsi="宋体"/>
                <w:color w:val="auto"/>
                <w:sz w:val="21"/>
                <w:szCs w:val="24"/>
                <w:highlight w:val="none"/>
              </w:rPr>
            </w:pPr>
            <w:r>
              <w:rPr>
                <w:rFonts w:hint="eastAsia" w:hAnsi="宋体"/>
                <w:color w:val="auto"/>
                <w:sz w:val="21"/>
                <w:szCs w:val="24"/>
                <w:highlight w:val="none"/>
              </w:rPr>
              <w:t>0.6</w:t>
            </w:r>
          </w:p>
        </w:tc>
        <w:tc>
          <w:tcPr>
            <w:tcW w:w="2316" w:type="dxa"/>
          </w:tcPr>
          <w:p>
            <w:pPr>
              <w:tabs>
                <w:tab w:val="left" w:pos="4312"/>
                <w:tab w:val="right" w:leader="dot" w:pos="8494"/>
              </w:tabs>
              <w:snapToGrid w:val="0"/>
              <w:ind w:firstLine="315" w:firstLineChars="150"/>
              <w:jc w:val="center"/>
              <w:rPr>
                <w:rFonts w:hAnsi="宋体"/>
                <w:color w:val="auto"/>
                <w:sz w:val="21"/>
                <w:szCs w:val="24"/>
                <w:highlight w:val="none"/>
              </w:rPr>
            </w:pPr>
            <w:r>
              <w:rPr>
                <w:rFonts w:hint="eastAsia" w:hAnsi="宋体"/>
                <w:color w:val="auto"/>
                <w:sz w:val="21"/>
                <w:szCs w:val="24"/>
                <w:highlight w:val="none"/>
              </w:rPr>
              <w:t>24次</w:t>
            </w:r>
            <w:r>
              <w:rPr>
                <w:rFonts w:hAnsi="宋体"/>
                <w:color w:val="auto"/>
                <w:sz w:val="21"/>
                <w:szCs w:val="24"/>
                <w:highlight w:val="none"/>
              </w:rPr>
              <w:t>-</w:t>
            </w:r>
            <w:r>
              <w:rPr>
                <w:rFonts w:hint="eastAsia" w:hAnsi="宋体"/>
                <w:color w:val="auto"/>
                <w:sz w:val="21"/>
                <w:szCs w:val="24"/>
                <w:highlight w:val="none"/>
              </w:rPr>
              <w:t>34次</w:t>
            </w:r>
          </w:p>
        </w:tc>
        <w:tc>
          <w:tcPr>
            <w:tcW w:w="1940" w:type="dxa"/>
          </w:tcPr>
          <w:p>
            <w:pPr>
              <w:tabs>
                <w:tab w:val="left" w:pos="4312"/>
                <w:tab w:val="right" w:leader="dot" w:pos="8494"/>
              </w:tabs>
              <w:snapToGrid w:val="0"/>
              <w:ind w:firstLine="525" w:firstLineChars="250"/>
              <w:rPr>
                <w:rFonts w:hAnsi="宋体"/>
                <w:color w:val="auto"/>
                <w:sz w:val="21"/>
                <w:szCs w:val="24"/>
                <w:highlight w:val="none"/>
              </w:rPr>
            </w:pPr>
            <w:r>
              <w:rPr>
                <w:rFonts w:hint="eastAsia" w:hAnsi="宋体"/>
                <w:color w:val="auto"/>
                <w:sz w:val="21"/>
                <w:szCs w:val="24"/>
                <w:highlight w:val="none"/>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pPr>
              <w:tabs>
                <w:tab w:val="left" w:pos="4312"/>
                <w:tab w:val="right" w:leader="dot" w:pos="8494"/>
              </w:tabs>
              <w:snapToGrid w:val="0"/>
              <w:ind w:firstLine="315" w:firstLineChars="150"/>
              <w:jc w:val="center"/>
              <w:rPr>
                <w:rFonts w:hAnsi="宋体"/>
                <w:color w:val="auto"/>
                <w:sz w:val="21"/>
                <w:szCs w:val="24"/>
                <w:highlight w:val="none"/>
              </w:rPr>
            </w:pPr>
            <w:r>
              <w:rPr>
                <w:rFonts w:hint="eastAsia" w:hAnsi="宋体"/>
                <w:color w:val="auto"/>
                <w:sz w:val="21"/>
                <w:szCs w:val="24"/>
                <w:highlight w:val="none"/>
              </w:rPr>
              <w:t>35次以上</w:t>
            </w:r>
          </w:p>
        </w:tc>
        <w:tc>
          <w:tcPr>
            <w:tcW w:w="2504" w:type="dxa"/>
          </w:tcPr>
          <w:p>
            <w:pPr>
              <w:tabs>
                <w:tab w:val="left" w:pos="4312"/>
                <w:tab w:val="right" w:leader="dot" w:pos="8494"/>
              </w:tabs>
              <w:snapToGrid w:val="0"/>
              <w:ind w:firstLine="525" w:firstLineChars="250"/>
              <w:rPr>
                <w:rFonts w:hAnsi="宋体"/>
                <w:color w:val="auto"/>
                <w:sz w:val="21"/>
                <w:szCs w:val="24"/>
                <w:highlight w:val="none"/>
              </w:rPr>
            </w:pPr>
            <w:r>
              <w:rPr>
                <w:rFonts w:hint="eastAsia" w:hAnsi="宋体"/>
                <w:color w:val="auto"/>
                <w:sz w:val="21"/>
                <w:szCs w:val="24"/>
                <w:highlight w:val="none"/>
              </w:rPr>
              <w:t>0.3</w:t>
            </w:r>
          </w:p>
        </w:tc>
        <w:tc>
          <w:tcPr>
            <w:tcW w:w="2316" w:type="dxa"/>
          </w:tcPr>
          <w:p>
            <w:pPr>
              <w:tabs>
                <w:tab w:val="left" w:pos="4312"/>
                <w:tab w:val="right" w:leader="dot" w:pos="8494"/>
              </w:tabs>
              <w:snapToGrid w:val="0"/>
              <w:ind w:firstLine="315" w:firstLineChars="150"/>
              <w:jc w:val="center"/>
              <w:rPr>
                <w:rFonts w:hAnsi="宋体"/>
                <w:color w:val="auto"/>
                <w:sz w:val="21"/>
                <w:szCs w:val="24"/>
                <w:highlight w:val="none"/>
              </w:rPr>
            </w:pPr>
            <w:r>
              <w:rPr>
                <w:rFonts w:hint="eastAsia" w:hAnsi="宋体"/>
                <w:color w:val="auto"/>
                <w:sz w:val="21"/>
                <w:szCs w:val="24"/>
                <w:highlight w:val="none"/>
              </w:rPr>
              <w:t>36次以上</w:t>
            </w:r>
          </w:p>
        </w:tc>
        <w:tc>
          <w:tcPr>
            <w:tcW w:w="1940" w:type="dxa"/>
          </w:tcPr>
          <w:p>
            <w:pPr>
              <w:tabs>
                <w:tab w:val="left" w:pos="4312"/>
                <w:tab w:val="right" w:leader="dot" w:pos="8494"/>
              </w:tabs>
              <w:snapToGrid w:val="0"/>
              <w:ind w:firstLine="525" w:firstLineChars="250"/>
              <w:rPr>
                <w:rFonts w:hAnsi="宋体"/>
                <w:color w:val="auto"/>
                <w:sz w:val="21"/>
                <w:szCs w:val="24"/>
                <w:highlight w:val="none"/>
              </w:rPr>
            </w:pPr>
            <w:r>
              <w:rPr>
                <w:rFonts w:hint="eastAsia" w:hAnsi="宋体"/>
                <w:color w:val="auto"/>
                <w:sz w:val="21"/>
                <w:szCs w:val="24"/>
                <w:highlight w:val="none"/>
              </w:rPr>
              <w:t>0.075</w:t>
            </w:r>
          </w:p>
        </w:tc>
      </w:tr>
    </w:tbl>
    <w:p>
      <w:pPr>
        <w:ind w:firstLine="420" w:firstLineChars="200"/>
        <w:rPr>
          <w:rFonts w:hAnsi="宋体"/>
          <w:b/>
          <w:color w:val="auto"/>
          <w:sz w:val="21"/>
          <w:szCs w:val="24"/>
          <w:highlight w:val="none"/>
        </w:rPr>
      </w:pPr>
      <w:r>
        <w:rPr>
          <w:rFonts w:hint="eastAsia" w:hAnsi="宋体"/>
          <w:color w:val="auto"/>
          <w:sz w:val="21"/>
          <w:szCs w:val="24"/>
          <w:highlight w:val="none"/>
        </w:rPr>
        <w:t>光伏电站并网运行时，光伏并网逆变器接入电网的公共连接点的负序电压不平衡度不应超过2</w:t>
      </w:r>
      <w:r>
        <w:rPr>
          <w:rFonts w:hAnsi="宋体"/>
          <w:color w:val="auto"/>
          <w:sz w:val="21"/>
          <w:szCs w:val="24"/>
          <w:highlight w:val="none"/>
        </w:rPr>
        <w:t>%</w:t>
      </w:r>
      <w:r>
        <w:rPr>
          <w:rFonts w:hint="eastAsia" w:hAnsi="宋体"/>
          <w:color w:val="auto"/>
          <w:sz w:val="21"/>
          <w:szCs w:val="24"/>
          <w:highlight w:val="none"/>
        </w:rPr>
        <w:t>，短时不得超过4</w:t>
      </w:r>
      <w:r>
        <w:rPr>
          <w:rFonts w:hAnsi="宋体"/>
          <w:color w:val="auto"/>
          <w:sz w:val="21"/>
          <w:szCs w:val="24"/>
          <w:highlight w:val="none"/>
        </w:rPr>
        <w:t>%</w:t>
      </w:r>
      <w:r>
        <w:rPr>
          <w:rFonts w:hint="eastAsia" w:hAnsi="宋体"/>
          <w:color w:val="auto"/>
          <w:sz w:val="21"/>
          <w:szCs w:val="24"/>
          <w:highlight w:val="none"/>
        </w:rPr>
        <w:t>；光伏并网逆变器引起的负序电压不平衡度不应超过1.3</w:t>
      </w:r>
      <w:r>
        <w:rPr>
          <w:rFonts w:hAnsi="宋体"/>
          <w:color w:val="auto"/>
          <w:sz w:val="21"/>
          <w:szCs w:val="24"/>
          <w:highlight w:val="none"/>
        </w:rPr>
        <w:t>%</w:t>
      </w:r>
      <w:r>
        <w:rPr>
          <w:rFonts w:hint="eastAsia" w:hAnsi="宋体"/>
          <w:color w:val="auto"/>
          <w:sz w:val="21"/>
          <w:szCs w:val="24"/>
          <w:highlight w:val="none"/>
        </w:rPr>
        <w:t>，短时不应超过2.6</w:t>
      </w:r>
      <w:r>
        <w:rPr>
          <w:rFonts w:hAnsi="宋体"/>
          <w:color w:val="auto"/>
          <w:sz w:val="21"/>
          <w:szCs w:val="24"/>
          <w:highlight w:val="none"/>
        </w:rPr>
        <w:t>%</w:t>
      </w:r>
      <w:r>
        <w:rPr>
          <w:rFonts w:hint="eastAsia" w:hAnsi="宋体"/>
          <w:color w:val="auto"/>
          <w:sz w:val="21"/>
          <w:szCs w:val="24"/>
          <w:highlight w:val="none"/>
        </w:rPr>
        <w:t>。</w:t>
      </w:r>
    </w:p>
    <w:p>
      <w:pPr>
        <w:ind w:firstLine="420" w:firstLineChars="200"/>
        <w:rPr>
          <w:rFonts w:hAnsi="宋体"/>
          <w:color w:val="auto"/>
          <w:sz w:val="21"/>
          <w:szCs w:val="24"/>
          <w:highlight w:val="none"/>
        </w:rPr>
      </w:pPr>
      <w:r>
        <w:rPr>
          <w:rFonts w:hint="eastAsia" w:hAnsi="宋体"/>
          <w:color w:val="auto"/>
          <w:sz w:val="21"/>
          <w:szCs w:val="24"/>
          <w:highlight w:val="none"/>
        </w:rPr>
        <w:t>电流和电压的谐波水平必须满足要求上述要求，投标方须就如何降低逆变器在各功率段的谐波含量做详细说明。</w:t>
      </w:r>
    </w:p>
    <w:p>
      <w:pPr>
        <w:ind w:firstLine="420" w:firstLineChars="200"/>
        <w:rPr>
          <w:rFonts w:hAnsi="宋体"/>
          <w:color w:val="auto"/>
          <w:sz w:val="21"/>
          <w:szCs w:val="24"/>
          <w:highlight w:val="none"/>
        </w:rPr>
      </w:pPr>
      <w:r>
        <w:rPr>
          <w:rFonts w:hint="eastAsia" w:hAnsi="宋体"/>
          <w:color w:val="auto"/>
          <w:sz w:val="21"/>
          <w:szCs w:val="24"/>
          <w:highlight w:val="none"/>
        </w:rPr>
        <w:t>（</w:t>
      </w:r>
      <w:r>
        <w:rPr>
          <w:rFonts w:hAnsi="宋体"/>
          <w:color w:val="auto"/>
          <w:sz w:val="21"/>
          <w:szCs w:val="24"/>
          <w:highlight w:val="none"/>
        </w:rPr>
        <w:t>14</w:t>
      </w:r>
      <w:r>
        <w:rPr>
          <w:rFonts w:hint="eastAsia" w:hAnsi="宋体"/>
          <w:color w:val="auto"/>
          <w:sz w:val="21"/>
          <w:szCs w:val="24"/>
          <w:highlight w:val="none"/>
        </w:rPr>
        <w:t>）光伏系统和并网接口设备的防雷和接地，应符合SJ/T 11127中的规定。</w:t>
      </w:r>
    </w:p>
    <w:p>
      <w:pPr>
        <w:ind w:firstLine="420" w:firstLineChars="200"/>
        <w:rPr>
          <w:rFonts w:hAnsi="宋体"/>
          <w:color w:val="auto"/>
          <w:sz w:val="21"/>
          <w:szCs w:val="24"/>
          <w:highlight w:val="none"/>
        </w:rPr>
      </w:pPr>
      <w:r>
        <w:rPr>
          <w:rFonts w:hint="eastAsia" w:hAnsi="宋体"/>
          <w:color w:val="auto"/>
          <w:sz w:val="21"/>
          <w:szCs w:val="24"/>
          <w:highlight w:val="none"/>
        </w:rPr>
        <w:t>（</w:t>
      </w:r>
      <w:r>
        <w:rPr>
          <w:rFonts w:hAnsi="宋体"/>
          <w:color w:val="auto"/>
          <w:sz w:val="21"/>
          <w:szCs w:val="24"/>
          <w:highlight w:val="none"/>
        </w:rPr>
        <w:t>15</w:t>
      </w:r>
      <w:r>
        <w:rPr>
          <w:rFonts w:hint="eastAsia" w:hAnsi="宋体"/>
          <w:color w:val="auto"/>
          <w:sz w:val="21"/>
          <w:szCs w:val="24"/>
          <w:highlight w:val="none"/>
        </w:rPr>
        <w:t>）逆变器开机或运行中，检测到输出侧发生短路时，逆变器应能自动保护。逆变器最大跳闸时间应小于0.1s。</w:t>
      </w:r>
    </w:p>
    <w:p>
      <w:pPr>
        <w:ind w:firstLine="420" w:firstLineChars="200"/>
        <w:rPr>
          <w:rFonts w:hAnsi="宋体"/>
          <w:color w:val="auto"/>
          <w:sz w:val="21"/>
          <w:szCs w:val="24"/>
          <w:highlight w:val="none"/>
        </w:rPr>
      </w:pPr>
      <w:r>
        <w:rPr>
          <w:rFonts w:hint="eastAsia" w:hAnsi="宋体"/>
          <w:color w:val="auto"/>
          <w:sz w:val="21"/>
          <w:szCs w:val="24"/>
          <w:highlight w:val="none"/>
        </w:rPr>
        <w:t>（1</w:t>
      </w:r>
      <w:r>
        <w:rPr>
          <w:rFonts w:hAnsi="宋体"/>
          <w:color w:val="auto"/>
          <w:sz w:val="21"/>
          <w:szCs w:val="24"/>
          <w:highlight w:val="none"/>
        </w:rPr>
        <w:t>6</w:t>
      </w:r>
      <w:r>
        <w:rPr>
          <w:rFonts w:hint="eastAsia" w:hAnsi="宋体"/>
          <w:color w:val="auto"/>
          <w:sz w:val="21"/>
          <w:szCs w:val="24"/>
          <w:highlight w:val="none"/>
        </w:rPr>
        <w:t>）隔离和开关</w:t>
      </w:r>
    </w:p>
    <w:p>
      <w:pPr>
        <w:tabs>
          <w:tab w:val="left" w:pos="1080"/>
        </w:tabs>
        <w:overflowPunct w:val="0"/>
        <w:snapToGrid w:val="0"/>
        <w:ind w:firstLine="420" w:firstLineChars="200"/>
        <w:rPr>
          <w:rFonts w:hAnsi="宋体"/>
          <w:color w:val="auto"/>
          <w:sz w:val="21"/>
          <w:szCs w:val="24"/>
          <w:highlight w:val="none"/>
        </w:rPr>
      </w:pPr>
      <w:r>
        <w:rPr>
          <w:rFonts w:hint="eastAsia" w:hAnsi="宋体"/>
          <w:color w:val="auto"/>
          <w:sz w:val="21"/>
          <w:szCs w:val="24"/>
          <w:highlight w:val="none"/>
        </w:rPr>
        <w:t>在逆变器直流输入侧应提供可视断点的装置。</w:t>
      </w:r>
    </w:p>
    <w:p>
      <w:pPr>
        <w:tabs>
          <w:tab w:val="left" w:pos="1080"/>
        </w:tabs>
        <w:overflowPunct w:val="0"/>
        <w:snapToGrid w:val="0"/>
        <w:ind w:firstLine="420" w:firstLineChars="200"/>
        <w:rPr>
          <w:rFonts w:hAnsi="宋体"/>
          <w:color w:val="auto"/>
          <w:sz w:val="21"/>
          <w:szCs w:val="24"/>
          <w:highlight w:val="none"/>
        </w:rPr>
      </w:pPr>
      <w:r>
        <w:rPr>
          <w:rFonts w:hAnsi="宋体"/>
          <w:color w:val="auto"/>
          <w:sz w:val="21"/>
          <w:szCs w:val="24"/>
          <w:highlight w:val="none"/>
        </w:rPr>
        <w:t>（17）逆变器要求具有故障数据自动记录存储功能，</w:t>
      </w:r>
      <w:r>
        <w:rPr>
          <w:rFonts w:hint="eastAsia" w:hAnsi="宋体"/>
          <w:color w:val="auto"/>
          <w:sz w:val="21"/>
          <w:szCs w:val="24"/>
          <w:highlight w:val="none"/>
        </w:rPr>
        <w:t>结合</w:t>
      </w:r>
      <w:r>
        <w:rPr>
          <w:rFonts w:hAnsi="宋体"/>
          <w:color w:val="auto"/>
          <w:sz w:val="21"/>
          <w:szCs w:val="24"/>
          <w:highlight w:val="none"/>
        </w:rPr>
        <w:t>后台监控存储时间大于10年。</w:t>
      </w:r>
    </w:p>
    <w:p>
      <w:pPr>
        <w:tabs>
          <w:tab w:val="left" w:pos="1080"/>
        </w:tabs>
        <w:overflowPunct w:val="0"/>
        <w:snapToGrid w:val="0"/>
        <w:ind w:firstLine="420" w:firstLineChars="200"/>
        <w:rPr>
          <w:rFonts w:hAnsi="宋体"/>
          <w:color w:val="auto"/>
          <w:sz w:val="21"/>
          <w:szCs w:val="24"/>
          <w:highlight w:val="none"/>
        </w:rPr>
      </w:pPr>
      <w:r>
        <w:rPr>
          <w:rFonts w:hAnsi="宋体"/>
          <w:color w:val="auto"/>
          <w:sz w:val="21"/>
          <w:szCs w:val="24"/>
          <w:highlight w:val="none"/>
        </w:rPr>
        <w:t>（18）逆变器要求能够自动化运行，运行状态可视化程度高</w:t>
      </w:r>
      <w:r>
        <w:rPr>
          <w:rFonts w:hint="eastAsia" w:hAnsi="宋体"/>
          <w:color w:val="auto"/>
          <w:sz w:val="21"/>
          <w:szCs w:val="24"/>
          <w:highlight w:val="none"/>
        </w:rPr>
        <w:t>，并且可通过远程控制，调整逆变器输出功率</w:t>
      </w:r>
      <w:r>
        <w:rPr>
          <w:rFonts w:hAnsi="宋体"/>
          <w:color w:val="auto"/>
          <w:sz w:val="21"/>
          <w:szCs w:val="24"/>
          <w:highlight w:val="none"/>
        </w:rPr>
        <w:t>。显示屏可清晰显示实时各项运行数据，实时故障数据，历史故障数据，总发电量数据，历史发电量（按月、按年查询）</w:t>
      </w:r>
      <w:r>
        <w:rPr>
          <w:rFonts w:hint="eastAsia" w:hAnsi="宋体"/>
          <w:color w:val="auto"/>
          <w:sz w:val="21"/>
          <w:szCs w:val="24"/>
          <w:highlight w:val="none"/>
        </w:rPr>
        <w:t>，当前发电功率、日发电量、累计发电量、设备状态、电流、电压、逆变器机内温度、频率、故障信息等</w:t>
      </w:r>
      <w:r>
        <w:rPr>
          <w:rFonts w:hAnsi="宋体"/>
          <w:color w:val="auto"/>
          <w:sz w:val="21"/>
          <w:szCs w:val="24"/>
          <w:highlight w:val="none"/>
        </w:rPr>
        <w:t>数据。</w:t>
      </w:r>
    </w:p>
    <w:p>
      <w:pPr>
        <w:tabs>
          <w:tab w:val="left" w:pos="1080"/>
        </w:tabs>
        <w:overflowPunct w:val="0"/>
        <w:snapToGrid w:val="0"/>
        <w:ind w:firstLine="420" w:firstLineChars="200"/>
        <w:rPr>
          <w:rFonts w:hAnsi="宋体"/>
          <w:color w:val="auto"/>
          <w:sz w:val="21"/>
          <w:szCs w:val="24"/>
          <w:highlight w:val="none"/>
        </w:rPr>
      </w:pPr>
      <w:r>
        <w:rPr>
          <w:rFonts w:hint="eastAsia" w:hAnsi="宋体"/>
          <w:color w:val="auto"/>
          <w:sz w:val="21"/>
          <w:szCs w:val="24"/>
          <w:highlight w:val="none"/>
        </w:rPr>
        <w:t>（</w:t>
      </w:r>
      <w:r>
        <w:rPr>
          <w:rFonts w:hAnsi="宋体"/>
          <w:color w:val="auto"/>
          <w:sz w:val="21"/>
          <w:szCs w:val="24"/>
          <w:highlight w:val="none"/>
        </w:rPr>
        <w:t>19</w:t>
      </w:r>
      <w:r>
        <w:rPr>
          <w:rFonts w:hint="eastAsia" w:hAnsi="宋体"/>
          <w:color w:val="auto"/>
          <w:sz w:val="21"/>
          <w:szCs w:val="24"/>
          <w:highlight w:val="none"/>
        </w:rPr>
        <w:t>）设备的框架和外壳应有足够的强度和刚度，应能承受所安装元件及短路所产生的震动、热稳定。同时不因成套设备的安装、运输等情况而影响设备的性能。开关柜柜体镀锌件必须光亮，无蚀斑。</w:t>
      </w:r>
    </w:p>
    <w:p>
      <w:pPr>
        <w:tabs>
          <w:tab w:val="left" w:pos="1080"/>
        </w:tabs>
        <w:overflowPunct w:val="0"/>
        <w:snapToGrid w:val="0"/>
        <w:ind w:firstLine="420" w:firstLineChars="200"/>
        <w:rPr>
          <w:rFonts w:hAnsi="宋体"/>
          <w:color w:val="auto"/>
          <w:sz w:val="21"/>
          <w:szCs w:val="24"/>
          <w:highlight w:val="none"/>
        </w:rPr>
      </w:pPr>
      <w:r>
        <w:rPr>
          <w:rFonts w:hint="eastAsia" w:hAnsi="宋体"/>
          <w:color w:val="auto"/>
          <w:sz w:val="21"/>
          <w:szCs w:val="24"/>
          <w:highlight w:val="none"/>
        </w:rPr>
        <w:t>（2</w:t>
      </w:r>
      <w:r>
        <w:rPr>
          <w:rFonts w:hAnsi="宋体"/>
          <w:color w:val="auto"/>
          <w:sz w:val="21"/>
          <w:szCs w:val="24"/>
          <w:highlight w:val="none"/>
        </w:rPr>
        <w:t>0</w:t>
      </w:r>
      <w:r>
        <w:rPr>
          <w:rFonts w:hint="eastAsia" w:hAnsi="宋体"/>
          <w:color w:val="auto"/>
          <w:sz w:val="21"/>
          <w:szCs w:val="24"/>
          <w:highlight w:val="none"/>
        </w:rPr>
        <w:t>）</w:t>
      </w:r>
      <w:r>
        <w:rPr>
          <w:rFonts w:hAnsi="宋体"/>
          <w:color w:val="auto"/>
          <w:sz w:val="21"/>
          <w:szCs w:val="24"/>
          <w:highlight w:val="none"/>
        </w:rPr>
        <w:t>光伏电站并网运行时，向电网馈送的直流电流分量不应超过其交流额定值的0.5%，对于不经变压器直接接入电网的光伏电站，因逆变器效率等特殊因素可放宽至1%。</w:t>
      </w:r>
    </w:p>
    <w:p>
      <w:pPr>
        <w:tabs>
          <w:tab w:val="left" w:pos="1080"/>
        </w:tabs>
        <w:overflowPunct w:val="0"/>
        <w:snapToGrid w:val="0"/>
        <w:ind w:firstLine="420" w:firstLineChars="200"/>
        <w:rPr>
          <w:rFonts w:hAnsi="宋体"/>
          <w:color w:val="auto"/>
          <w:sz w:val="21"/>
          <w:szCs w:val="24"/>
          <w:highlight w:val="none"/>
        </w:rPr>
      </w:pPr>
      <w:r>
        <w:rPr>
          <w:rFonts w:hint="eastAsia" w:hAnsi="宋体"/>
          <w:color w:val="auto"/>
          <w:sz w:val="21"/>
          <w:szCs w:val="24"/>
          <w:highlight w:val="none"/>
        </w:rPr>
        <w:t>（2</w:t>
      </w:r>
      <w:r>
        <w:rPr>
          <w:rFonts w:hAnsi="宋体"/>
          <w:color w:val="auto"/>
          <w:sz w:val="21"/>
          <w:szCs w:val="24"/>
          <w:highlight w:val="none"/>
        </w:rPr>
        <w:t>1</w:t>
      </w:r>
      <w:r>
        <w:rPr>
          <w:rFonts w:hint="eastAsia" w:hAnsi="宋体"/>
          <w:color w:val="auto"/>
          <w:sz w:val="21"/>
          <w:szCs w:val="24"/>
          <w:highlight w:val="none"/>
        </w:rPr>
        <w:t>）逆变器本体防护等级不低于IP65（如为外置风扇散热方式，风扇防护等级不低于IP55）。</w:t>
      </w:r>
    </w:p>
    <w:p>
      <w:pPr>
        <w:tabs>
          <w:tab w:val="left" w:pos="1080"/>
        </w:tabs>
        <w:overflowPunct w:val="0"/>
        <w:snapToGrid w:val="0"/>
        <w:ind w:firstLine="420" w:firstLineChars="200"/>
        <w:rPr>
          <w:rFonts w:hAnsi="宋体"/>
          <w:color w:val="auto"/>
          <w:sz w:val="21"/>
          <w:szCs w:val="24"/>
          <w:highlight w:val="none"/>
        </w:rPr>
      </w:pPr>
      <w:r>
        <w:rPr>
          <w:rFonts w:hint="eastAsia" w:hAnsi="宋体"/>
          <w:color w:val="auto"/>
          <w:sz w:val="21"/>
          <w:szCs w:val="24"/>
          <w:highlight w:val="none"/>
        </w:rPr>
        <w:t>（2</w:t>
      </w:r>
      <w:r>
        <w:rPr>
          <w:rFonts w:hAnsi="宋体"/>
          <w:color w:val="auto"/>
          <w:sz w:val="21"/>
          <w:szCs w:val="24"/>
          <w:highlight w:val="none"/>
        </w:rPr>
        <w:t>2</w:t>
      </w:r>
      <w:r>
        <w:rPr>
          <w:rFonts w:hint="eastAsia" w:hAnsi="宋体"/>
          <w:color w:val="auto"/>
          <w:sz w:val="21"/>
          <w:szCs w:val="24"/>
          <w:highlight w:val="none"/>
        </w:rPr>
        <w:t>）投标方的逆变器应通过权威机构的设计认证。</w:t>
      </w:r>
    </w:p>
    <w:p>
      <w:pPr>
        <w:tabs>
          <w:tab w:val="left" w:pos="1080"/>
        </w:tabs>
        <w:overflowPunct w:val="0"/>
        <w:snapToGrid w:val="0"/>
        <w:ind w:firstLine="420" w:firstLineChars="200"/>
        <w:rPr>
          <w:rFonts w:hAnsi="宋体"/>
          <w:color w:val="auto"/>
          <w:sz w:val="21"/>
          <w:szCs w:val="24"/>
          <w:highlight w:val="none"/>
        </w:rPr>
      </w:pPr>
      <w:r>
        <w:rPr>
          <w:rFonts w:hint="eastAsia" w:hAnsi="宋体"/>
          <w:color w:val="auto"/>
          <w:sz w:val="21"/>
          <w:szCs w:val="24"/>
          <w:highlight w:val="none"/>
        </w:rPr>
        <w:t>（2</w:t>
      </w:r>
      <w:r>
        <w:rPr>
          <w:rFonts w:hAnsi="宋体"/>
          <w:color w:val="auto"/>
          <w:sz w:val="21"/>
          <w:szCs w:val="24"/>
          <w:highlight w:val="none"/>
        </w:rPr>
        <w:t>3</w:t>
      </w:r>
      <w:r>
        <w:rPr>
          <w:rFonts w:hint="eastAsia" w:hAnsi="宋体"/>
          <w:color w:val="auto"/>
          <w:sz w:val="21"/>
          <w:szCs w:val="24"/>
          <w:highlight w:val="none"/>
        </w:rPr>
        <w:t>）针对同一机型，逆变器的所有部件均应满足现场条件下运行，并可以互换，互换后不影响逆变器的正常运行。</w:t>
      </w:r>
    </w:p>
    <w:p>
      <w:pPr>
        <w:tabs>
          <w:tab w:val="left" w:pos="1080"/>
        </w:tabs>
        <w:overflowPunct w:val="0"/>
        <w:snapToGrid w:val="0"/>
        <w:rPr>
          <w:rFonts w:hAnsi="宋体"/>
          <w:color w:val="auto"/>
          <w:sz w:val="21"/>
          <w:szCs w:val="24"/>
          <w:highlight w:val="none"/>
        </w:rPr>
      </w:pPr>
      <w:r>
        <w:rPr>
          <w:rFonts w:hint="eastAsia" w:hAnsi="宋体"/>
          <w:color w:val="auto"/>
          <w:sz w:val="21"/>
          <w:szCs w:val="24"/>
          <w:highlight w:val="none"/>
        </w:rPr>
        <w:t xml:space="preserve">    （2</w:t>
      </w:r>
      <w:r>
        <w:rPr>
          <w:rFonts w:hAnsi="宋体"/>
          <w:color w:val="auto"/>
          <w:sz w:val="21"/>
          <w:szCs w:val="24"/>
          <w:highlight w:val="none"/>
        </w:rPr>
        <w:t>4</w:t>
      </w:r>
      <w:r>
        <w:rPr>
          <w:rFonts w:hint="eastAsia" w:hAnsi="宋体"/>
          <w:color w:val="auto"/>
          <w:sz w:val="21"/>
          <w:szCs w:val="24"/>
          <w:highlight w:val="none"/>
        </w:rPr>
        <w:t>）投标方设备型号的安全等级必需满足各光伏电站当地的极端气候条件，当地的极端气候条件详见各光伏电站的特殊要求。</w:t>
      </w:r>
    </w:p>
    <w:p>
      <w:pPr>
        <w:rPr>
          <w:rFonts w:hAnsi="宋体"/>
          <w:color w:val="auto"/>
          <w:sz w:val="21"/>
          <w:szCs w:val="24"/>
          <w:highlight w:val="none"/>
        </w:rPr>
      </w:pPr>
      <w:r>
        <w:rPr>
          <w:rFonts w:hint="eastAsia" w:hAnsi="宋体"/>
          <w:color w:val="auto"/>
          <w:sz w:val="21"/>
          <w:szCs w:val="24"/>
          <w:highlight w:val="none"/>
        </w:rPr>
        <w:t xml:space="preserve">    （2</w:t>
      </w:r>
      <w:r>
        <w:rPr>
          <w:rFonts w:hAnsi="宋体"/>
          <w:color w:val="auto"/>
          <w:sz w:val="21"/>
          <w:szCs w:val="24"/>
          <w:highlight w:val="none"/>
        </w:rPr>
        <w:t>5</w:t>
      </w:r>
      <w:r>
        <w:rPr>
          <w:rFonts w:hint="eastAsia" w:hAnsi="宋体"/>
          <w:color w:val="auto"/>
          <w:sz w:val="21"/>
          <w:szCs w:val="24"/>
          <w:highlight w:val="none"/>
        </w:rPr>
        <w:t>）逆变器设计寿命至少是25年。其中，主要部件(如IGBT或其它功率开关元件，电感、电容，控制板等)在设计寿命期间不应更换，如因设计、制造、材料原因使上述主要部件在设计寿命期内必须更换，投标方必须承担全部费用，参照国家产品召回有关规定执行。任何偏差或改进必须说明，并附有批准机构的证明文件。</w:t>
      </w:r>
    </w:p>
    <w:p>
      <w:pPr>
        <w:ind w:firstLine="420" w:firstLineChars="200"/>
        <w:rPr>
          <w:rFonts w:hAnsi="宋体"/>
          <w:color w:val="auto"/>
          <w:sz w:val="21"/>
          <w:szCs w:val="24"/>
          <w:highlight w:val="none"/>
        </w:rPr>
      </w:pPr>
      <w:r>
        <w:rPr>
          <w:rFonts w:hint="eastAsia" w:hAnsi="宋体"/>
          <w:color w:val="auto"/>
          <w:sz w:val="21"/>
          <w:szCs w:val="24"/>
          <w:highlight w:val="none"/>
        </w:rPr>
        <w:t>（2</w:t>
      </w:r>
      <w:r>
        <w:rPr>
          <w:rFonts w:hAnsi="宋体"/>
          <w:color w:val="auto"/>
          <w:sz w:val="21"/>
          <w:szCs w:val="24"/>
          <w:highlight w:val="none"/>
        </w:rPr>
        <w:t>6</w:t>
      </w:r>
      <w:r>
        <w:rPr>
          <w:rFonts w:hint="eastAsia" w:hAnsi="宋体"/>
          <w:color w:val="auto"/>
          <w:sz w:val="21"/>
          <w:szCs w:val="24"/>
          <w:highlight w:val="none"/>
        </w:rPr>
        <w:t>）</w:t>
      </w:r>
      <w:r>
        <w:rPr>
          <w:rFonts w:hAnsi="宋体"/>
          <w:color w:val="auto"/>
          <w:sz w:val="21"/>
          <w:szCs w:val="24"/>
          <w:highlight w:val="none"/>
        </w:rPr>
        <w:t>逆变器参数基本要求如下：</w:t>
      </w:r>
    </w:p>
    <w:tbl>
      <w:tblPr>
        <w:tblStyle w:val="34"/>
        <w:tblW w:w="87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15"/>
        <w:gridCol w:w="62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15" w:type="dxa"/>
          </w:tcPr>
          <w:p>
            <w:pPr>
              <w:rPr>
                <w:rFonts w:hAnsi="宋体"/>
                <w:color w:val="auto"/>
                <w:sz w:val="21"/>
                <w:szCs w:val="24"/>
                <w:highlight w:val="none"/>
              </w:rPr>
            </w:pPr>
            <w:r>
              <w:rPr>
                <w:rFonts w:hAnsi="宋体"/>
                <w:color w:val="auto"/>
                <w:sz w:val="21"/>
                <w:szCs w:val="24"/>
                <w:highlight w:val="none"/>
              </w:rPr>
              <w:t>频率</w:t>
            </w:r>
          </w:p>
        </w:tc>
        <w:tc>
          <w:tcPr>
            <w:tcW w:w="6226" w:type="dxa"/>
          </w:tcPr>
          <w:p>
            <w:pPr>
              <w:rPr>
                <w:rFonts w:hAnsi="宋体"/>
                <w:color w:val="auto"/>
                <w:sz w:val="21"/>
                <w:szCs w:val="24"/>
                <w:highlight w:val="none"/>
              </w:rPr>
            </w:pPr>
            <w:r>
              <w:rPr>
                <w:rFonts w:hint="eastAsia" w:hAnsi="宋体"/>
                <w:color w:val="auto"/>
                <w:sz w:val="21"/>
                <w:szCs w:val="24"/>
                <w:highlight w:val="none"/>
              </w:rPr>
              <w:t>50Hz±0.5%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15" w:type="dxa"/>
          </w:tcPr>
          <w:p>
            <w:pPr>
              <w:rPr>
                <w:rFonts w:hAnsi="宋体"/>
                <w:color w:val="auto"/>
                <w:sz w:val="21"/>
                <w:szCs w:val="24"/>
                <w:highlight w:val="none"/>
              </w:rPr>
            </w:pPr>
            <w:r>
              <w:rPr>
                <w:rFonts w:hAnsi="宋体"/>
                <w:color w:val="auto"/>
                <w:sz w:val="21"/>
                <w:szCs w:val="24"/>
                <w:highlight w:val="none"/>
              </w:rPr>
              <w:t>功率因数</w:t>
            </w:r>
          </w:p>
        </w:tc>
        <w:tc>
          <w:tcPr>
            <w:tcW w:w="6226" w:type="dxa"/>
          </w:tcPr>
          <w:p>
            <w:pPr>
              <w:rPr>
                <w:rFonts w:hAnsi="宋体"/>
                <w:color w:val="auto"/>
                <w:sz w:val="21"/>
                <w:szCs w:val="24"/>
                <w:highlight w:val="none"/>
              </w:rPr>
            </w:pPr>
            <w:r>
              <w:rPr>
                <w:rFonts w:hint="eastAsia" w:hAnsi="宋体"/>
                <w:color w:val="auto"/>
                <w:sz w:val="21"/>
                <w:szCs w:val="24"/>
                <w:highlight w:val="none"/>
              </w:rPr>
              <w:t>可调根据实际运行要求调节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15" w:type="dxa"/>
          </w:tcPr>
          <w:p>
            <w:pPr>
              <w:rPr>
                <w:rFonts w:hAnsi="宋体"/>
                <w:color w:val="auto"/>
                <w:sz w:val="21"/>
                <w:szCs w:val="24"/>
                <w:highlight w:val="none"/>
              </w:rPr>
            </w:pPr>
            <w:r>
              <w:rPr>
                <w:rFonts w:hAnsi="宋体"/>
                <w:color w:val="auto"/>
                <w:sz w:val="21"/>
                <w:szCs w:val="24"/>
                <w:highlight w:val="none"/>
              </w:rPr>
              <w:t>总电流波形畸变率</w:t>
            </w:r>
          </w:p>
        </w:tc>
        <w:tc>
          <w:tcPr>
            <w:tcW w:w="6226" w:type="dxa"/>
          </w:tcPr>
          <w:p>
            <w:pPr>
              <w:rPr>
                <w:rFonts w:hAnsi="宋体"/>
                <w:color w:val="auto"/>
                <w:sz w:val="21"/>
                <w:szCs w:val="24"/>
                <w:highlight w:val="none"/>
              </w:rPr>
            </w:pPr>
            <w:r>
              <w:rPr>
                <w:rFonts w:hint="eastAsia" w:hAnsi="宋体"/>
                <w:color w:val="auto"/>
                <w:sz w:val="21"/>
                <w:szCs w:val="24"/>
                <w:highlight w:val="none"/>
              </w:rPr>
              <w:t>＜5</w:t>
            </w:r>
            <w:r>
              <w:rPr>
                <w:rFonts w:hAnsi="宋体"/>
                <w:color w:val="auto"/>
                <w:sz w:val="21"/>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15" w:type="dxa"/>
          </w:tcPr>
          <w:p>
            <w:pPr>
              <w:rPr>
                <w:rFonts w:hAnsi="宋体"/>
                <w:color w:val="auto"/>
                <w:sz w:val="21"/>
                <w:szCs w:val="24"/>
                <w:highlight w:val="none"/>
              </w:rPr>
            </w:pPr>
            <w:r>
              <w:rPr>
                <w:rFonts w:hint="eastAsia" w:hAnsi="宋体"/>
                <w:color w:val="auto"/>
                <w:sz w:val="21"/>
                <w:szCs w:val="24"/>
                <w:highlight w:val="none"/>
              </w:rPr>
              <w:t>使用寿命</w:t>
            </w:r>
          </w:p>
        </w:tc>
        <w:tc>
          <w:tcPr>
            <w:tcW w:w="6226" w:type="dxa"/>
          </w:tcPr>
          <w:p>
            <w:pPr>
              <w:rPr>
                <w:rFonts w:hAnsi="宋体"/>
                <w:color w:val="auto"/>
                <w:sz w:val="21"/>
                <w:szCs w:val="24"/>
                <w:highlight w:val="none"/>
              </w:rPr>
            </w:pPr>
            <w:r>
              <w:rPr>
                <w:rFonts w:hint="eastAsia" w:hAnsi="宋体"/>
                <w:color w:val="auto"/>
                <w:sz w:val="21"/>
                <w:szCs w:val="24"/>
                <w:highlight w:val="none"/>
              </w:rPr>
              <w:t>25年安全可靠运行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15" w:type="dxa"/>
          </w:tcPr>
          <w:p>
            <w:pPr>
              <w:rPr>
                <w:rFonts w:hAnsi="宋体"/>
                <w:color w:val="auto"/>
                <w:sz w:val="21"/>
                <w:szCs w:val="24"/>
                <w:highlight w:val="none"/>
              </w:rPr>
            </w:pPr>
            <w:r>
              <w:rPr>
                <w:rFonts w:hint="eastAsia" w:hAnsi="宋体"/>
                <w:color w:val="auto"/>
                <w:sz w:val="21"/>
                <w:szCs w:val="24"/>
                <w:highlight w:val="none"/>
              </w:rPr>
              <w:t>保护功能</w:t>
            </w:r>
          </w:p>
        </w:tc>
        <w:tc>
          <w:tcPr>
            <w:tcW w:w="6226" w:type="dxa"/>
          </w:tcPr>
          <w:p>
            <w:pPr>
              <w:rPr>
                <w:rFonts w:hAnsi="宋体"/>
                <w:color w:val="auto"/>
                <w:sz w:val="21"/>
                <w:szCs w:val="24"/>
                <w:highlight w:val="none"/>
              </w:rPr>
            </w:pPr>
            <w:r>
              <w:rPr>
                <w:rFonts w:hint="eastAsia" w:hAnsi="宋体"/>
                <w:color w:val="auto"/>
                <w:sz w:val="21"/>
                <w:szCs w:val="24"/>
                <w:highlight w:val="none"/>
              </w:rPr>
              <w:t>电网异常保护、过/欠压保护、过/欠频保护、防孤岛效应保护、恢复并网保护、过流保护、防反放电和极性反接保护、电网相序保护、直流接地保护、内部故障保护、过热保护、降额警告、参数设置保护、保护后的自动电气隔离功能、光伏并网逆变器的谐振抑制功能。</w:t>
            </w:r>
          </w:p>
        </w:tc>
      </w:tr>
    </w:tbl>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光伏并网逆变器应具有如下保护或功能。</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1）电网异常保护</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电网异常时，光伏并网逆变器应按照GB/T 19964、Q/GDW 617、NB/T 32004、IEC 62116等标准和本技术规范中的相关要求进行动作和保护。</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2）过/欠压保护</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当光伏并网逆变器交流输出端电压超出规定的电压允许值范围10%时，光伏并网逆变器应停止向电网供电，同时发出报警信号。</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光伏并网逆变器应能检测到异常电压并做出反应。电压的方均根值在逆变器交流输出端测量，其值应满足相关规定的要求。</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3）过/欠频保护</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当光伏并网逆变器交流输出端电压的频率超出规定的允许频率范围时，光伏并网逆变器应在0.2s内停止向电网供电，同时发出报警信号。</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4）防孤岛效应保护</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光伏逆变器必须具备快速监测孤岛且立即断开与电网的连接，其防孤岛保护应与电网侧线路保护相配合。</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光伏逆变器的防孤岛保护必须具备主动式和被动式两种，应设置至少各一种主动和被动防孤岛保护。</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5）恢复并网保护</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系统发生扰动后，在电网电压和频率恢复正常范围之前并网逆变器不允许并网，且在系统电压频率恢复正常后，并网逆变器需要经过一个可调的延时时间后才能重新并网，这个延时一般为20秒到5分钟，取决于当地条件。</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6）过流保护</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能够在110%额定电流下长期运行；在120%额定电流下，逆变器连续可靠工作时间应不小于1min。</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并网逆变器的过电流大于额定电流的 150%时，能在 0.1s 内停止向电网供电，同时发出警示信号。故障排除后，并网逆变器应能正常工作。</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7）防反放电和极性接反保护</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当光伏并网逆变器直流侧电压低于允许工作范围或逆变器处于关机状态时，光伏并网逆变器直流侧无反向电流流过。</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当光伏方阵的极性反接时，光伏并网逆变器应能可靠保护而不会损坏。极性正接后，光伏并网逆变器应能正常工作。</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8）电网相序保护</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光伏并网逆变器应具备电网相序检测功能，当连接到光伏并网逆变器的电网电压为负序时，光伏并网逆变器应通过内部调整向电网注入正序正弦波电流。任何情况下，光伏并网逆变器都不应向电网注入负序电流。</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9）直流接地保护</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逆变器具有接地检测功能，直流回路绝缘性能降低后能发出报警信号，直流支路接地以后逆变器应自动停止运行。</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10）内部故障保护</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当光伏并网逆变器内部发生故障时（如电力电子开关直通、直流母线短路等），光伏并网逆变器内的保护装置应快速、可靠动作，</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实现直流输入侧（PV侧）与交流输出侧（电网侧）的有效隔离，任何情况下都不应因光伏并网逆变器内部故障导致外部设备损坏。</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11）过热保护</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光伏并网逆变器应具备机内环境温度过高保护（例如着火）、机内关键部件温度过高保护等基本过热保护功能。</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12）降额警告</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光伏并网逆变器在温度过高时应进入降额运行模式，并通过本地和远程进行提醒，投标方应在投标文件中提供光伏并网逆变器的降额曲线并提供光伏并网逆变器的关机温度设定值。</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13）参数设置保护</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光伏并网逆变器应具备对不支持的设备运行参数进行自动限制和保护的功能，不允许操作、调试人员对投标设备支持范围之外的参数进行选择和设置。</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14）保护后的自动电气隔离功能</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保护动作发生后，逆变器自动实现逆变器其直流输入侧及交流输出侧的有效电气隔离。如果投标方提供了该项功能和配置，须在投标文件中详细说明具体的技术方案和配置情况。</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15）组串故障检测功能</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逆变器应具有组串故障检测功能，能够检测到每个组串的电压和电流值，通过分析每个组串的电压和电流，从而判断各组串运行情况是否明显正常，若有异常则及时显示告警代码，并精确定位异常组串，并能将故障记录上传至监控系统，便于运维人员及时发现故障。</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16）绝缘阻抗检测功能</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逆变器应具有绝缘阻抗检测功能，其应满足《光伏并网逆变器技术规范》（NB/T 32004-2018）的要求。</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17）残余电流监测功能</w:t>
      </w:r>
    </w:p>
    <w:p>
      <w:pPr>
        <w:overflowPunct w:val="0"/>
        <w:ind w:firstLine="420" w:firstLineChars="200"/>
        <w:rPr>
          <w:rFonts w:hAnsi="宋体" w:cs="宋体"/>
          <w:color w:val="auto"/>
          <w:sz w:val="21"/>
          <w:szCs w:val="24"/>
          <w:highlight w:val="none"/>
        </w:rPr>
      </w:pPr>
      <w:r>
        <w:rPr>
          <w:rFonts w:hint="eastAsia" w:hAnsi="宋体" w:cs="宋体"/>
          <w:color w:val="auto"/>
          <w:sz w:val="21"/>
          <w:szCs w:val="24"/>
          <w:highlight w:val="none"/>
        </w:rPr>
        <w:t>逆变器应具有残余电流监测功能，其应满足《光伏并网逆变器技术规范》（NB/T 32004-2018）的要求。</w:t>
      </w:r>
    </w:p>
    <w:p>
      <w:pPr>
        <w:overflowPunct w:val="0"/>
        <w:ind w:left="357" w:firstLine="119"/>
        <w:rPr>
          <w:rFonts w:hAnsi="宋体"/>
          <w:color w:val="auto"/>
          <w:sz w:val="21"/>
          <w:szCs w:val="24"/>
          <w:highlight w:val="none"/>
        </w:rPr>
      </w:pPr>
      <w:r>
        <w:rPr>
          <w:rFonts w:hint="eastAsia" w:hAnsi="宋体"/>
          <w:color w:val="auto"/>
          <w:sz w:val="21"/>
          <w:szCs w:val="24"/>
          <w:highlight w:val="none"/>
        </w:rPr>
        <w:t>（2</w:t>
      </w:r>
      <w:r>
        <w:rPr>
          <w:rFonts w:hAnsi="宋体"/>
          <w:color w:val="auto"/>
          <w:sz w:val="21"/>
          <w:szCs w:val="24"/>
          <w:highlight w:val="none"/>
        </w:rPr>
        <w:t>7</w:t>
      </w:r>
      <w:r>
        <w:rPr>
          <w:rFonts w:hint="eastAsia" w:hAnsi="宋体"/>
          <w:color w:val="auto"/>
          <w:sz w:val="21"/>
          <w:szCs w:val="24"/>
          <w:highlight w:val="none"/>
        </w:rPr>
        <w:t>）</w:t>
      </w:r>
      <w:r>
        <w:rPr>
          <w:rFonts w:hAnsi="宋体" w:cs="宋体"/>
          <w:color w:val="auto"/>
          <w:sz w:val="21"/>
          <w:szCs w:val="24"/>
          <w:highlight w:val="none"/>
        </w:rPr>
        <w:t>低电压穿越能力要求：</w:t>
      </w:r>
    </w:p>
    <w:p>
      <w:pPr>
        <w:overflowPunct w:val="0"/>
        <w:ind w:firstLine="420" w:firstLineChars="200"/>
        <w:rPr>
          <w:rFonts w:hAnsi="宋体" w:cs="宋体"/>
          <w:color w:val="auto"/>
          <w:sz w:val="21"/>
          <w:szCs w:val="24"/>
          <w:highlight w:val="none"/>
        </w:rPr>
      </w:pPr>
      <w:bookmarkStart w:id="481" w:name="_Toc510683370"/>
      <w:bookmarkStart w:id="482" w:name="_Toc510722332"/>
      <w:r>
        <w:rPr>
          <w:rFonts w:hint="eastAsia" w:hAnsi="宋体" w:cs="宋体"/>
          <w:color w:val="auto"/>
          <w:sz w:val="21"/>
          <w:szCs w:val="24"/>
          <w:highlight w:val="none"/>
        </w:rPr>
        <w:t>满足国家电网对低电压穿越的要求(如下图所示)。并承诺在设备投运前取得国家电网低电压穿越认证证书，设备投运后通过国家电网低电压穿越现场试验。</w:t>
      </w:r>
    </w:p>
    <w:p>
      <w:pPr>
        <w:widowControl/>
        <w:snapToGrid w:val="0"/>
        <w:jc w:val="center"/>
        <w:rPr>
          <w:color w:val="auto"/>
          <w:sz w:val="21"/>
          <w:szCs w:val="24"/>
          <w:highlight w:val="none"/>
        </w:rPr>
      </w:pPr>
      <w:r>
        <w:rPr>
          <w:color w:val="auto"/>
          <w:sz w:val="21"/>
          <w:szCs w:val="24"/>
          <w:highlight w:val="none"/>
        </w:rPr>
        <w:pict>
          <v:shape id="_x0000_i1025" o:spt="75" type="#_x0000_t75" style="height:169.5pt;width:339.5pt;" filled="f" o:preferrelative="t" stroked="f" coordsize="21600,21600">
            <v:path/>
            <v:fill on="f" focussize="0,0"/>
            <v:stroke on="f" joinstyle="miter"/>
            <v:imagedata r:id="rId8" o:title=""/>
            <o:lock v:ext="edit" aspectratio="t"/>
            <w10:wrap type="none"/>
            <w10:anchorlock/>
          </v:shape>
        </w:pict>
      </w:r>
    </w:p>
    <w:p>
      <w:pPr>
        <w:widowControl/>
        <w:snapToGrid w:val="0"/>
        <w:ind w:firstLine="422" w:firstLineChars="200"/>
        <w:jc w:val="center"/>
        <w:rPr>
          <w:rFonts w:hAnsi="宋体" w:cs="宋体"/>
          <w:color w:val="auto"/>
          <w:sz w:val="21"/>
          <w:szCs w:val="24"/>
          <w:highlight w:val="none"/>
        </w:rPr>
      </w:pPr>
      <w:r>
        <w:rPr>
          <w:b/>
          <w:bCs/>
          <w:color w:val="auto"/>
          <w:sz w:val="21"/>
          <w:szCs w:val="24"/>
          <w:highlight w:val="none"/>
        </w:rPr>
        <w:t>光伏发电站的低电压穿越能力要求</w:t>
      </w:r>
    </w:p>
    <w:p>
      <w:pPr>
        <w:numPr>
          <w:ilvl w:val="0"/>
          <w:numId w:val="3"/>
        </w:numPr>
        <w:overflowPunct w:val="0"/>
        <w:rPr>
          <w:rFonts w:hAnsi="宋体" w:cs="宋体"/>
          <w:color w:val="auto"/>
          <w:sz w:val="21"/>
          <w:szCs w:val="24"/>
          <w:highlight w:val="none"/>
        </w:rPr>
      </w:pPr>
      <w:r>
        <w:rPr>
          <w:rFonts w:hint="eastAsia" w:hAnsi="宋体"/>
          <w:color w:val="auto"/>
          <w:sz w:val="21"/>
          <w:szCs w:val="24"/>
          <w:highlight w:val="none"/>
        </w:rPr>
        <w:t>具备</w:t>
      </w:r>
      <w:r>
        <w:rPr>
          <w:rFonts w:hint="eastAsia" w:hAnsi="宋体" w:cs="宋体"/>
          <w:color w:val="auto"/>
          <w:sz w:val="21"/>
          <w:szCs w:val="24"/>
          <w:highlight w:val="none"/>
        </w:rPr>
        <w:t>能量管理平台功能，实现远方控制逆变器输出功率的调节</w:t>
      </w:r>
    </w:p>
    <w:p>
      <w:pPr>
        <w:overflowPunct w:val="0"/>
        <w:ind w:left="480"/>
        <w:rPr>
          <w:rFonts w:hAnsi="宋体" w:cs="宋体"/>
          <w:color w:val="auto"/>
          <w:sz w:val="21"/>
          <w:szCs w:val="24"/>
          <w:highlight w:val="none"/>
        </w:rPr>
      </w:pPr>
      <w:r>
        <w:rPr>
          <w:rFonts w:hint="eastAsia" w:hAnsi="宋体"/>
          <w:color w:val="auto"/>
          <w:sz w:val="21"/>
          <w:szCs w:val="24"/>
          <w:highlight w:val="none"/>
        </w:rPr>
        <w:t>（29）</w:t>
      </w:r>
      <w:r>
        <w:rPr>
          <w:rFonts w:hAnsi="宋体"/>
          <w:color w:val="auto"/>
          <w:sz w:val="21"/>
          <w:szCs w:val="24"/>
          <w:highlight w:val="none"/>
        </w:rPr>
        <w:t>频率</w:t>
      </w:r>
      <w:r>
        <w:rPr>
          <w:rFonts w:hint="eastAsia" w:hAnsi="宋体"/>
          <w:color w:val="auto"/>
          <w:sz w:val="21"/>
          <w:szCs w:val="24"/>
          <w:highlight w:val="none"/>
        </w:rPr>
        <w:t>异常</w:t>
      </w:r>
      <w:r>
        <w:rPr>
          <w:rFonts w:hAnsi="宋体"/>
          <w:color w:val="auto"/>
          <w:sz w:val="21"/>
          <w:szCs w:val="24"/>
          <w:highlight w:val="none"/>
        </w:rPr>
        <w:t>响应特性</w:t>
      </w:r>
    </w:p>
    <w:p>
      <w:pPr>
        <w:ind w:firstLine="420" w:firstLineChars="200"/>
        <w:rPr>
          <w:rFonts w:hAnsi="宋体"/>
          <w:color w:val="auto"/>
          <w:sz w:val="21"/>
          <w:szCs w:val="24"/>
          <w:highlight w:val="none"/>
        </w:rPr>
      </w:pPr>
      <w:r>
        <w:rPr>
          <w:rFonts w:hint="eastAsia" w:hAnsi="宋体"/>
          <w:color w:val="auto"/>
          <w:sz w:val="21"/>
          <w:szCs w:val="24"/>
          <w:highlight w:val="none"/>
        </w:rPr>
        <w:t>大中型光伏电站应具备一定的耐受系统频率异常的能力，应能够在下表所示电网频率偏离下运行，本电站所选逆变器的频率响应参照该要求执行。</w:t>
      </w:r>
    </w:p>
    <w:p>
      <w:pPr>
        <w:jc w:val="center"/>
        <w:rPr>
          <w:rFonts w:hAnsi="宋体"/>
          <w:color w:val="auto"/>
          <w:sz w:val="21"/>
          <w:szCs w:val="24"/>
          <w:highlight w:val="none"/>
        </w:rPr>
      </w:pPr>
      <w:r>
        <w:rPr>
          <w:rFonts w:hint="eastAsia" w:hAnsi="宋体"/>
          <w:color w:val="auto"/>
          <w:sz w:val="21"/>
          <w:szCs w:val="24"/>
          <w:highlight w:val="none"/>
        </w:rPr>
        <w:t>大中型光伏电站在电网频率异常时的运行时间要求</w:t>
      </w:r>
    </w:p>
    <w:tbl>
      <w:tblPr>
        <w:tblStyle w:val="34"/>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6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vAlign w:val="center"/>
          </w:tcPr>
          <w:p>
            <w:pPr>
              <w:autoSpaceDE w:val="0"/>
              <w:autoSpaceDN w:val="0"/>
              <w:jc w:val="center"/>
              <w:rPr>
                <w:rFonts w:hAnsi="宋体"/>
                <w:color w:val="auto"/>
                <w:sz w:val="21"/>
                <w:szCs w:val="21"/>
                <w:highlight w:val="none"/>
              </w:rPr>
            </w:pPr>
            <w:r>
              <w:rPr>
                <w:rFonts w:hint="eastAsia" w:hAnsi="宋体"/>
                <w:color w:val="auto"/>
                <w:sz w:val="21"/>
                <w:szCs w:val="21"/>
                <w:highlight w:val="none"/>
              </w:rPr>
              <w:t>频率范围</w:t>
            </w:r>
          </w:p>
        </w:tc>
        <w:tc>
          <w:tcPr>
            <w:tcW w:w="6157" w:type="dxa"/>
          </w:tcPr>
          <w:p>
            <w:pPr>
              <w:autoSpaceDE w:val="0"/>
              <w:autoSpaceDN w:val="0"/>
              <w:jc w:val="center"/>
              <w:rPr>
                <w:rFonts w:hAnsi="宋体"/>
                <w:color w:val="auto"/>
                <w:sz w:val="21"/>
                <w:szCs w:val="21"/>
                <w:highlight w:val="none"/>
              </w:rPr>
            </w:pPr>
            <w:r>
              <w:rPr>
                <w:rFonts w:hint="eastAsia" w:hAnsi="宋体"/>
                <w:color w:val="auto"/>
                <w:sz w:val="21"/>
                <w:szCs w:val="21"/>
                <w:highlight w:val="none"/>
              </w:rPr>
              <w:t>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vAlign w:val="center"/>
          </w:tcPr>
          <w:p>
            <w:pPr>
              <w:autoSpaceDE w:val="0"/>
              <w:autoSpaceDN w:val="0"/>
              <w:jc w:val="center"/>
              <w:rPr>
                <w:rFonts w:hAnsi="宋体"/>
                <w:color w:val="auto"/>
                <w:sz w:val="21"/>
                <w:szCs w:val="21"/>
                <w:highlight w:val="none"/>
              </w:rPr>
            </w:pPr>
            <w:r>
              <w:rPr>
                <w:rFonts w:hint="eastAsia"/>
                <w:color w:val="auto"/>
                <w:sz w:val="21"/>
                <w:szCs w:val="21"/>
                <w:highlight w:val="none"/>
              </w:rPr>
              <w:t>低于48Hz</w:t>
            </w:r>
          </w:p>
        </w:tc>
        <w:tc>
          <w:tcPr>
            <w:tcW w:w="6157" w:type="dxa"/>
          </w:tcPr>
          <w:p>
            <w:pPr>
              <w:autoSpaceDE w:val="0"/>
              <w:autoSpaceDN w:val="0"/>
              <w:rPr>
                <w:rFonts w:hAnsi="宋体"/>
                <w:color w:val="auto"/>
                <w:sz w:val="21"/>
                <w:szCs w:val="21"/>
                <w:highlight w:val="none"/>
              </w:rPr>
            </w:pPr>
            <w:r>
              <w:rPr>
                <w:rFonts w:hint="eastAsia" w:hAnsi="宋体"/>
                <w:color w:val="auto"/>
                <w:sz w:val="21"/>
                <w:szCs w:val="21"/>
                <w:highlight w:val="none"/>
              </w:rPr>
              <w:t>根据当地电网要求而定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vAlign w:val="center"/>
          </w:tcPr>
          <w:p>
            <w:pPr>
              <w:autoSpaceDE w:val="0"/>
              <w:autoSpaceDN w:val="0"/>
              <w:jc w:val="center"/>
              <w:rPr>
                <w:color w:val="auto"/>
                <w:sz w:val="21"/>
                <w:szCs w:val="21"/>
                <w:highlight w:val="none"/>
              </w:rPr>
            </w:pPr>
            <w:r>
              <w:rPr>
                <w:color w:val="auto"/>
                <w:sz w:val="21"/>
                <w:szCs w:val="21"/>
                <w:highlight w:val="none"/>
              </w:rPr>
              <w:t>48Hz~49.5Hz</w:t>
            </w:r>
          </w:p>
        </w:tc>
        <w:tc>
          <w:tcPr>
            <w:tcW w:w="6157" w:type="dxa"/>
          </w:tcPr>
          <w:p>
            <w:pPr>
              <w:autoSpaceDE w:val="0"/>
              <w:autoSpaceDN w:val="0"/>
              <w:rPr>
                <w:rFonts w:hAnsi="宋体"/>
                <w:color w:val="auto"/>
                <w:sz w:val="21"/>
                <w:szCs w:val="21"/>
                <w:highlight w:val="none"/>
              </w:rPr>
            </w:pPr>
            <w:r>
              <w:rPr>
                <w:rFonts w:hAnsi="宋体"/>
                <w:color w:val="auto"/>
                <w:sz w:val="21"/>
                <w:szCs w:val="21"/>
                <w:highlight w:val="none"/>
              </w:rPr>
              <w:t>每次低于49.5Hz至少能运行10min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vAlign w:val="center"/>
          </w:tcPr>
          <w:p>
            <w:pPr>
              <w:autoSpaceDE w:val="0"/>
              <w:autoSpaceDN w:val="0"/>
              <w:jc w:val="center"/>
              <w:rPr>
                <w:color w:val="auto"/>
                <w:sz w:val="21"/>
                <w:szCs w:val="21"/>
                <w:highlight w:val="none"/>
              </w:rPr>
            </w:pPr>
            <w:r>
              <w:rPr>
                <w:color w:val="auto"/>
                <w:sz w:val="21"/>
                <w:szCs w:val="21"/>
                <w:highlight w:val="none"/>
              </w:rPr>
              <w:t>49.5Hz~50.2Hz</w:t>
            </w:r>
          </w:p>
        </w:tc>
        <w:tc>
          <w:tcPr>
            <w:tcW w:w="6157" w:type="dxa"/>
          </w:tcPr>
          <w:p>
            <w:pPr>
              <w:autoSpaceDE w:val="0"/>
              <w:autoSpaceDN w:val="0"/>
              <w:rPr>
                <w:rFonts w:hAnsi="宋体"/>
                <w:color w:val="auto"/>
                <w:sz w:val="21"/>
                <w:szCs w:val="21"/>
                <w:highlight w:val="none"/>
              </w:rPr>
            </w:pPr>
            <w:r>
              <w:rPr>
                <w:rFonts w:hAnsi="宋体"/>
                <w:color w:val="auto"/>
                <w:sz w:val="21"/>
                <w:szCs w:val="21"/>
                <w:highlight w:val="none"/>
              </w:rPr>
              <w:t>连续运行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vAlign w:val="center"/>
          </w:tcPr>
          <w:p>
            <w:pPr>
              <w:autoSpaceDE w:val="0"/>
              <w:autoSpaceDN w:val="0"/>
              <w:jc w:val="center"/>
              <w:rPr>
                <w:rFonts w:hAnsi="宋体"/>
                <w:color w:val="auto"/>
                <w:sz w:val="21"/>
                <w:szCs w:val="21"/>
                <w:highlight w:val="none"/>
              </w:rPr>
            </w:pPr>
            <w:r>
              <w:rPr>
                <w:color w:val="auto"/>
                <w:sz w:val="21"/>
                <w:szCs w:val="21"/>
                <w:highlight w:val="none"/>
              </w:rPr>
              <w:t>50.2Hz~50.</w:t>
            </w:r>
            <w:r>
              <w:rPr>
                <w:rFonts w:hint="eastAsia"/>
                <w:color w:val="auto"/>
                <w:sz w:val="21"/>
                <w:szCs w:val="21"/>
                <w:highlight w:val="none"/>
              </w:rPr>
              <w:t>5</w:t>
            </w:r>
            <w:r>
              <w:rPr>
                <w:color w:val="auto"/>
                <w:sz w:val="21"/>
                <w:szCs w:val="21"/>
                <w:highlight w:val="none"/>
              </w:rPr>
              <w:t>Hz</w:t>
            </w:r>
          </w:p>
        </w:tc>
        <w:tc>
          <w:tcPr>
            <w:tcW w:w="6157" w:type="dxa"/>
          </w:tcPr>
          <w:p>
            <w:pPr>
              <w:autoSpaceDE w:val="0"/>
              <w:autoSpaceDN w:val="0"/>
              <w:rPr>
                <w:rFonts w:hAnsi="宋体"/>
                <w:color w:val="auto"/>
                <w:sz w:val="21"/>
                <w:szCs w:val="21"/>
                <w:highlight w:val="none"/>
              </w:rPr>
            </w:pPr>
            <w:r>
              <w:rPr>
                <w:rFonts w:hAnsi="宋体"/>
                <w:color w:val="auto"/>
                <w:sz w:val="21"/>
                <w:szCs w:val="21"/>
                <w:highlight w:val="none"/>
              </w:rPr>
              <w:t>每次高于50.2Hz</w:t>
            </w:r>
            <w:r>
              <w:rPr>
                <w:rFonts w:hint="eastAsia" w:hAnsi="宋体"/>
                <w:color w:val="auto"/>
                <w:sz w:val="21"/>
                <w:szCs w:val="21"/>
                <w:highlight w:val="none"/>
              </w:rPr>
              <w:t>，光伏电站应具备能够</w:t>
            </w:r>
            <w:r>
              <w:rPr>
                <w:rFonts w:hAnsi="宋体"/>
                <w:color w:val="auto"/>
                <w:sz w:val="21"/>
                <w:szCs w:val="21"/>
                <w:highlight w:val="none"/>
              </w:rPr>
              <w:t>连续运行2min</w:t>
            </w:r>
            <w:r>
              <w:rPr>
                <w:rFonts w:hint="eastAsia" w:hAnsi="宋体"/>
                <w:color w:val="auto"/>
                <w:sz w:val="21"/>
                <w:szCs w:val="21"/>
                <w:highlight w:val="none"/>
              </w:rPr>
              <w:t>的能力</w:t>
            </w:r>
            <w:r>
              <w:rPr>
                <w:rFonts w:hAnsi="宋体"/>
                <w:color w:val="auto"/>
                <w:sz w:val="21"/>
                <w:szCs w:val="21"/>
                <w:highlight w:val="none"/>
              </w:rPr>
              <w:t>，同时具备0.2s内停止向电网线路送电的能力</w:t>
            </w:r>
            <w:r>
              <w:rPr>
                <w:rFonts w:hint="eastAsia" w:hAnsi="宋体"/>
                <w:color w:val="auto"/>
                <w:sz w:val="21"/>
                <w:szCs w:val="21"/>
                <w:highlight w:val="none"/>
              </w:rPr>
              <w:t>，实际运行时间由电力调度部门决定；此时不允许处于停运状态的光伏电站并网。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vAlign w:val="center"/>
          </w:tcPr>
          <w:p>
            <w:pPr>
              <w:autoSpaceDE w:val="0"/>
              <w:autoSpaceDN w:val="0"/>
              <w:jc w:val="center"/>
              <w:rPr>
                <w:color w:val="auto"/>
                <w:sz w:val="21"/>
                <w:szCs w:val="21"/>
                <w:highlight w:val="none"/>
              </w:rPr>
            </w:pPr>
            <w:r>
              <w:rPr>
                <w:rFonts w:hint="eastAsia"/>
                <w:color w:val="auto"/>
                <w:sz w:val="21"/>
                <w:szCs w:val="21"/>
                <w:highlight w:val="none"/>
              </w:rPr>
              <w:t>高于</w:t>
            </w:r>
            <w:r>
              <w:rPr>
                <w:color w:val="auto"/>
                <w:sz w:val="21"/>
                <w:szCs w:val="21"/>
                <w:highlight w:val="none"/>
              </w:rPr>
              <w:t>50.</w:t>
            </w:r>
            <w:r>
              <w:rPr>
                <w:rFonts w:hint="eastAsia"/>
                <w:color w:val="auto"/>
                <w:sz w:val="21"/>
                <w:szCs w:val="21"/>
                <w:highlight w:val="none"/>
              </w:rPr>
              <w:t>5Hz</w:t>
            </w:r>
          </w:p>
        </w:tc>
        <w:tc>
          <w:tcPr>
            <w:tcW w:w="6157" w:type="dxa"/>
          </w:tcPr>
          <w:p>
            <w:pPr>
              <w:autoSpaceDE w:val="0"/>
              <w:autoSpaceDN w:val="0"/>
              <w:rPr>
                <w:color w:val="auto"/>
                <w:sz w:val="21"/>
                <w:szCs w:val="21"/>
                <w:highlight w:val="none"/>
              </w:rPr>
            </w:pPr>
            <w:r>
              <w:rPr>
                <w:color w:val="auto"/>
                <w:sz w:val="21"/>
                <w:szCs w:val="21"/>
                <w:highlight w:val="none"/>
              </w:rPr>
              <w:t>0.2s内停止向电网线路送电，</w:t>
            </w:r>
            <w:r>
              <w:rPr>
                <w:rFonts w:hint="eastAsia" w:hAnsi="宋体"/>
                <w:color w:val="auto"/>
                <w:sz w:val="21"/>
                <w:szCs w:val="21"/>
                <w:highlight w:val="none"/>
              </w:rPr>
              <w:t>且不允许处于停运状态的光伏电站并网。</w:t>
            </w:r>
          </w:p>
        </w:tc>
      </w:tr>
    </w:tbl>
    <w:p>
      <w:pPr>
        <w:overflowPunct w:val="0"/>
        <w:rPr>
          <w:rFonts w:hAnsi="宋体" w:cs="宋体"/>
          <w:color w:val="auto"/>
          <w:sz w:val="21"/>
          <w:szCs w:val="24"/>
          <w:highlight w:val="none"/>
        </w:rPr>
      </w:pPr>
      <w:r>
        <w:rPr>
          <w:rFonts w:hint="eastAsia" w:hAnsi="宋体" w:cs="宋体"/>
          <w:color w:val="auto"/>
          <w:sz w:val="21"/>
          <w:szCs w:val="24"/>
          <w:highlight w:val="none"/>
        </w:rPr>
        <w:t>（30）逆变器应具备I-V扫描功能，</w:t>
      </w:r>
      <w:r>
        <w:rPr>
          <w:rFonts w:hint="eastAsia" w:hAnsi="宋体" w:cs="宋体"/>
          <w:color w:val="auto"/>
          <w:sz w:val="21"/>
          <w:szCs w:val="21"/>
          <w:highlight w:val="none"/>
        </w:rPr>
        <w:t>实现对光伏区每台逆变器每一串组串的IV曲线等数据收集，精准判断零值组串及低效组串，提前预警。</w:t>
      </w:r>
    </w:p>
    <w:p>
      <w:pPr>
        <w:overflowPunct w:val="0"/>
        <w:rPr>
          <w:rFonts w:hAnsi="宋体" w:cs="宋体"/>
          <w:color w:val="auto"/>
          <w:sz w:val="21"/>
          <w:szCs w:val="24"/>
          <w:highlight w:val="none"/>
        </w:rPr>
      </w:pPr>
      <w:r>
        <w:rPr>
          <w:rFonts w:hint="eastAsia" w:hAnsi="宋体" w:cs="宋体"/>
          <w:color w:val="auto"/>
          <w:sz w:val="21"/>
          <w:szCs w:val="24"/>
          <w:highlight w:val="none"/>
        </w:rPr>
        <w:t>（31）逆变器符合高压穿越的要求，需满足电网要求。</w:t>
      </w:r>
    </w:p>
    <w:p>
      <w:pPr>
        <w:overflowPunct w:val="0"/>
        <w:rPr>
          <w:rFonts w:hAnsi="宋体" w:cs="宋体"/>
          <w:color w:val="auto"/>
          <w:sz w:val="21"/>
          <w:szCs w:val="24"/>
          <w:highlight w:val="none"/>
        </w:rPr>
      </w:pPr>
      <w:r>
        <w:rPr>
          <w:rFonts w:hint="eastAsia" w:hAnsi="宋体" w:cs="宋体"/>
          <w:color w:val="auto"/>
          <w:sz w:val="21"/>
          <w:szCs w:val="24"/>
          <w:highlight w:val="none"/>
        </w:rPr>
        <w:t>（32）逆变器满足一次调频的功能，需满足电网的要求。</w:t>
      </w:r>
    </w:p>
    <w:p>
      <w:pPr>
        <w:overflowPunct w:val="0"/>
        <w:rPr>
          <w:rFonts w:hAnsi="宋体" w:cs="宋体"/>
          <w:color w:val="auto"/>
          <w:sz w:val="21"/>
          <w:szCs w:val="24"/>
          <w:highlight w:val="none"/>
        </w:rPr>
      </w:pPr>
      <w:r>
        <w:rPr>
          <w:rFonts w:hint="eastAsia" w:hAnsi="宋体" w:cs="宋体"/>
          <w:color w:val="auto"/>
          <w:sz w:val="21"/>
          <w:szCs w:val="24"/>
          <w:highlight w:val="none"/>
        </w:rPr>
        <w:t>（3</w:t>
      </w:r>
      <w:r>
        <w:rPr>
          <w:rFonts w:hAnsi="宋体" w:cs="宋体"/>
          <w:color w:val="auto"/>
          <w:sz w:val="21"/>
          <w:szCs w:val="24"/>
          <w:highlight w:val="none"/>
        </w:rPr>
        <w:t>3</w:t>
      </w:r>
      <w:r>
        <w:rPr>
          <w:rFonts w:hint="eastAsia" w:hAnsi="宋体" w:cs="宋体"/>
          <w:color w:val="auto"/>
          <w:sz w:val="21"/>
          <w:szCs w:val="24"/>
          <w:highlight w:val="none"/>
        </w:rPr>
        <w:t>）逆变器需具备远程启停功能。</w:t>
      </w:r>
    </w:p>
    <w:p>
      <w:pPr>
        <w:overflowPunct w:val="0"/>
        <w:rPr>
          <w:rFonts w:hAnsi="宋体" w:cs="宋体"/>
          <w:color w:val="auto"/>
          <w:sz w:val="21"/>
          <w:szCs w:val="24"/>
          <w:highlight w:val="none"/>
        </w:rPr>
      </w:pPr>
      <w:r>
        <w:rPr>
          <w:rFonts w:hint="eastAsia" w:hAnsi="宋体" w:cs="宋体"/>
          <w:color w:val="auto"/>
          <w:sz w:val="21"/>
          <w:szCs w:val="24"/>
          <w:highlight w:val="none"/>
        </w:rPr>
        <w:t>（3</w:t>
      </w:r>
      <w:r>
        <w:rPr>
          <w:rFonts w:hAnsi="宋体" w:cs="宋体"/>
          <w:color w:val="auto"/>
          <w:sz w:val="21"/>
          <w:szCs w:val="24"/>
          <w:highlight w:val="none"/>
        </w:rPr>
        <w:t>4</w:t>
      </w:r>
      <w:r>
        <w:rPr>
          <w:rFonts w:hint="eastAsia" w:hAnsi="宋体" w:cs="宋体"/>
          <w:color w:val="auto"/>
          <w:sz w:val="21"/>
          <w:szCs w:val="24"/>
          <w:highlight w:val="none"/>
        </w:rPr>
        <w:t>）逆变器应满足山东电网验收要求。</w:t>
      </w:r>
    </w:p>
    <w:p>
      <w:pPr>
        <w:overflowPunct w:val="0"/>
        <w:rPr>
          <w:rFonts w:hAnsi="宋体" w:cs="宋体"/>
          <w:color w:val="auto"/>
          <w:sz w:val="21"/>
          <w:szCs w:val="24"/>
          <w:highlight w:val="none"/>
        </w:rPr>
      </w:pPr>
      <w:r>
        <w:rPr>
          <w:rFonts w:hint="eastAsia" w:hAnsi="宋体" w:cs="宋体"/>
          <w:color w:val="auto"/>
          <w:sz w:val="21"/>
          <w:szCs w:val="24"/>
          <w:highlight w:val="none"/>
        </w:rPr>
        <w:t>（35）逆变器应适应当地电网运行和管理的所有最新要求，例如高/低电压穿越、频率响应、次/超同步振荡抑制能力、电磁暂态和机电暂态模型(根据需要，投标方配合招标方获取电磁暂态和机电暂态模型与实测型式试验数据或半实物仿真试验数据的对比验证报告)等，投标方必须完全响应且无条件接受。</w:t>
      </w:r>
    </w:p>
    <w:p>
      <w:pPr>
        <w:overflowPunct w:val="0"/>
        <w:adjustRightInd w:val="0"/>
        <w:snapToGrid w:val="0"/>
        <w:jc w:val="left"/>
        <w:textAlignment w:val="baseline"/>
        <w:outlineLvl w:val="2"/>
        <w:rPr>
          <w:rFonts w:ascii="宋体" w:hAnsi="宋体"/>
          <w:color w:val="auto"/>
          <w:kern w:val="0"/>
          <w:sz w:val="21"/>
          <w:szCs w:val="21"/>
          <w:highlight w:val="none"/>
        </w:rPr>
      </w:pPr>
      <w:r>
        <w:rPr>
          <w:rFonts w:hint="eastAsia" w:ascii="宋体" w:hAnsi="宋体"/>
          <w:color w:val="auto"/>
          <w:kern w:val="0"/>
          <w:sz w:val="21"/>
          <w:szCs w:val="21"/>
          <w:highlight w:val="none"/>
        </w:rPr>
        <w:t>1.</w:t>
      </w:r>
      <w:r>
        <w:rPr>
          <w:rFonts w:ascii="宋体" w:hAnsi="宋体"/>
          <w:color w:val="auto"/>
          <w:kern w:val="0"/>
          <w:sz w:val="21"/>
          <w:szCs w:val="21"/>
          <w:highlight w:val="none"/>
        </w:rPr>
        <w:t>2</w:t>
      </w:r>
      <w:r>
        <w:rPr>
          <w:rFonts w:hint="eastAsia" w:ascii="宋体" w:hAnsi="宋体"/>
          <w:color w:val="auto"/>
          <w:kern w:val="0"/>
          <w:sz w:val="21"/>
          <w:szCs w:val="21"/>
          <w:highlight w:val="none"/>
        </w:rPr>
        <w:t xml:space="preserve"> 逆变器监控系统</w:t>
      </w:r>
      <w:bookmarkEnd w:id="481"/>
      <w:bookmarkEnd w:id="482"/>
    </w:p>
    <w:p>
      <w:pPr>
        <w:snapToGrid w:val="0"/>
        <w:rPr>
          <w:rFonts w:hAnsi="宋体"/>
          <w:color w:val="auto"/>
          <w:sz w:val="21"/>
          <w:szCs w:val="24"/>
          <w:highlight w:val="none"/>
        </w:rPr>
      </w:pPr>
      <w:r>
        <w:rPr>
          <w:rFonts w:hint="eastAsia" w:hAnsi="宋体"/>
          <w:color w:val="auto"/>
          <w:sz w:val="21"/>
          <w:szCs w:val="24"/>
          <w:highlight w:val="none"/>
        </w:rPr>
        <w:t xml:space="preserve">    控制系统与发电系统必须充分保护逆变器的机械和电气装置，以防发生故障或崩溃。</w:t>
      </w:r>
    </w:p>
    <w:p>
      <w:pPr>
        <w:snapToGrid w:val="0"/>
        <w:ind w:firstLine="516"/>
        <w:rPr>
          <w:rFonts w:hAnsi="宋体"/>
          <w:color w:val="auto"/>
          <w:sz w:val="21"/>
          <w:szCs w:val="24"/>
          <w:highlight w:val="none"/>
        </w:rPr>
      </w:pPr>
      <w:r>
        <w:rPr>
          <w:rFonts w:hint="eastAsia" w:hAnsi="宋体"/>
          <w:color w:val="auto"/>
          <w:sz w:val="21"/>
          <w:szCs w:val="24"/>
          <w:highlight w:val="none"/>
        </w:rPr>
        <w:t>作为控制系统一部分的监测系统至少应显示下列内容：</w:t>
      </w:r>
    </w:p>
    <w:p>
      <w:pPr>
        <w:numPr>
          <w:ilvl w:val="0"/>
          <w:numId w:val="4"/>
        </w:numPr>
        <w:tabs>
          <w:tab w:val="left" w:pos="945"/>
        </w:tabs>
        <w:overflowPunct w:val="0"/>
        <w:snapToGrid w:val="0"/>
        <w:ind w:left="945" w:hanging="420"/>
        <w:rPr>
          <w:rFonts w:hAnsi="宋体"/>
          <w:color w:val="auto"/>
          <w:sz w:val="21"/>
          <w:szCs w:val="24"/>
          <w:highlight w:val="none"/>
        </w:rPr>
      </w:pPr>
      <w:r>
        <w:rPr>
          <w:rFonts w:hint="eastAsia" w:hAnsi="宋体"/>
          <w:color w:val="auto"/>
          <w:sz w:val="21"/>
          <w:szCs w:val="24"/>
          <w:highlight w:val="none"/>
        </w:rPr>
        <w:t>逆变器的状态</w:t>
      </w:r>
    </w:p>
    <w:p>
      <w:pPr>
        <w:numPr>
          <w:ilvl w:val="0"/>
          <w:numId w:val="4"/>
        </w:numPr>
        <w:tabs>
          <w:tab w:val="left" w:pos="945"/>
        </w:tabs>
        <w:overflowPunct w:val="0"/>
        <w:snapToGrid w:val="0"/>
        <w:ind w:left="945" w:hanging="420"/>
        <w:rPr>
          <w:rFonts w:hAnsi="宋体"/>
          <w:color w:val="auto"/>
          <w:sz w:val="21"/>
          <w:szCs w:val="24"/>
          <w:highlight w:val="none"/>
        </w:rPr>
      </w:pPr>
      <w:r>
        <w:rPr>
          <w:rFonts w:hint="eastAsia" w:hAnsi="宋体"/>
          <w:color w:val="auto"/>
          <w:sz w:val="21"/>
          <w:szCs w:val="24"/>
          <w:highlight w:val="none"/>
        </w:rPr>
        <w:t>逆变器的月、年和累计的、以小时为单位的运行时间值</w:t>
      </w:r>
    </w:p>
    <w:p>
      <w:pPr>
        <w:numPr>
          <w:ilvl w:val="0"/>
          <w:numId w:val="4"/>
        </w:numPr>
        <w:tabs>
          <w:tab w:val="left" w:pos="945"/>
        </w:tabs>
        <w:overflowPunct w:val="0"/>
        <w:snapToGrid w:val="0"/>
        <w:ind w:left="945" w:hanging="420"/>
        <w:rPr>
          <w:rFonts w:hAnsi="宋体"/>
          <w:color w:val="auto"/>
          <w:sz w:val="21"/>
          <w:szCs w:val="24"/>
          <w:highlight w:val="none"/>
        </w:rPr>
      </w:pPr>
      <w:r>
        <w:rPr>
          <w:rFonts w:hint="eastAsia" w:hAnsi="宋体"/>
          <w:color w:val="auto"/>
          <w:sz w:val="21"/>
          <w:szCs w:val="24"/>
          <w:highlight w:val="none"/>
        </w:rPr>
        <w:t>电网正常运行的小时数</w:t>
      </w:r>
    </w:p>
    <w:p>
      <w:pPr>
        <w:numPr>
          <w:ilvl w:val="0"/>
          <w:numId w:val="4"/>
        </w:numPr>
        <w:tabs>
          <w:tab w:val="left" w:pos="945"/>
        </w:tabs>
        <w:overflowPunct w:val="0"/>
        <w:snapToGrid w:val="0"/>
        <w:ind w:left="945" w:hanging="420"/>
        <w:rPr>
          <w:rFonts w:hAnsi="宋体"/>
          <w:color w:val="auto"/>
          <w:sz w:val="21"/>
          <w:szCs w:val="24"/>
          <w:highlight w:val="none"/>
        </w:rPr>
      </w:pPr>
      <w:r>
        <w:rPr>
          <w:rFonts w:hint="eastAsia" w:hAnsi="宋体"/>
          <w:color w:val="auto"/>
          <w:sz w:val="21"/>
          <w:szCs w:val="24"/>
          <w:highlight w:val="none"/>
        </w:rPr>
        <w:t>逆变器正常运行的小时数</w:t>
      </w:r>
    </w:p>
    <w:p>
      <w:pPr>
        <w:numPr>
          <w:ilvl w:val="0"/>
          <w:numId w:val="4"/>
        </w:numPr>
        <w:tabs>
          <w:tab w:val="left" w:pos="945"/>
        </w:tabs>
        <w:overflowPunct w:val="0"/>
        <w:snapToGrid w:val="0"/>
        <w:ind w:left="945" w:hanging="420"/>
        <w:rPr>
          <w:rFonts w:hAnsi="宋体"/>
          <w:color w:val="auto"/>
          <w:sz w:val="21"/>
          <w:szCs w:val="24"/>
          <w:highlight w:val="none"/>
        </w:rPr>
      </w:pPr>
      <w:r>
        <w:rPr>
          <w:rFonts w:hint="eastAsia" w:hAnsi="宋体"/>
          <w:color w:val="auto"/>
          <w:sz w:val="21"/>
          <w:szCs w:val="24"/>
          <w:highlight w:val="none"/>
        </w:rPr>
        <w:t>发电小时数</w:t>
      </w:r>
    </w:p>
    <w:p>
      <w:pPr>
        <w:numPr>
          <w:ilvl w:val="0"/>
          <w:numId w:val="4"/>
        </w:numPr>
        <w:tabs>
          <w:tab w:val="left" w:pos="945"/>
        </w:tabs>
        <w:overflowPunct w:val="0"/>
        <w:snapToGrid w:val="0"/>
        <w:ind w:left="945" w:hanging="420"/>
        <w:rPr>
          <w:rFonts w:hAnsi="宋体"/>
          <w:color w:val="auto"/>
          <w:sz w:val="21"/>
          <w:szCs w:val="24"/>
          <w:highlight w:val="none"/>
        </w:rPr>
      </w:pPr>
      <w:r>
        <w:rPr>
          <w:rFonts w:hint="eastAsia" w:hAnsi="宋体"/>
          <w:color w:val="auto"/>
          <w:sz w:val="21"/>
          <w:szCs w:val="24"/>
          <w:highlight w:val="none"/>
        </w:rPr>
        <w:t>故障小时数</w:t>
      </w:r>
    </w:p>
    <w:p>
      <w:pPr>
        <w:numPr>
          <w:ilvl w:val="0"/>
          <w:numId w:val="4"/>
        </w:numPr>
        <w:tabs>
          <w:tab w:val="left" w:pos="945"/>
        </w:tabs>
        <w:overflowPunct w:val="0"/>
        <w:snapToGrid w:val="0"/>
        <w:ind w:left="945" w:hanging="420"/>
        <w:rPr>
          <w:rFonts w:hAnsi="宋体"/>
          <w:color w:val="auto"/>
          <w:sz w:val="21"/>
          <w:szCs w:val="24"/>
          <w:highlight w:val="none"/>
        </w:rPr>
      </w:pPr>
      <w:r>
        <w:rPr>
          <w:rFonts w:hint="eastAsia" w:hAnsi="宋体"/>
          <w:color w:val="auto"/>
          <w:sz w:val="21"/>
          <w:szCs w:val="24"/>
          <w:highlight w:val="none"/>
        </w:rPr>
        <w:t>光伏阵列的、以</w:t>
      </w:r>
      <w:r>
        <w:rPr>
          <w:rFonts w:hAnsi="宋体"/>
          <w:color w:val="auto"/>
          <w:sz w:val="21"/>
          <w:szCs w:val="24"/>
          <w:highlight w:val="none"/>
        </w:rPr>
        <w:t>kWh</w:t>
      </w:r>
      <w:r>
        <w:rPr>
          <w:rFonts w:hint="eastAsia" w:hAnsi="宋体"/>
          <w:color w:val="auto"/>
          <w:sz w:val="21"/>
          <w:szCs w:val="24"/>
          <w:highlight w:val="none"/>
        </w:rPr>
        <w:t>为单位的发电量（月、年和累计的）</w:t>
      </w:r>
    </w:p>
    <w:p>
      <w:pPr>
        <w:numPr>
          <w:ilvl w:val="0"/>
          <w:numId w:val="4"/>
        </w:numPr>
        <w:tabs>
          <w:tab w:val="left" w:pos="945"/>
        </w:tabs>
        <w:overflowPunct w:val="0"/>
        <w:snapToGrid w:val="0"/>
        <w:ind w:left="945" w:hanging="420"/>
        <w:rPr>
          <w:rFonts w:hAnsi="宋体"/>
          <w:color w:val="auto"/>
          <w:sz w:val="21"/>
          <w:szCs w:val="24"/>
          <w:highlight w:val="none"/>
        </w:rPr>
      </w:pPr>
      <w:r>
        <w:rPr>
          <w:rFonts w:hint="eastAsia" w:hAnsi="宋体"/>
          <w:color w:val="auto"/>
          <w:sz w:val="21"/>
          <w:szCs w:val="24"/>
          <w:highlight w:val="none"/>
        </w:rPr>
        <w:t>所有相频率、电压和电流</w:t>
      </w:r>
    </w:p>
    <w:p>
      <w:pPr>
        <w:numPr>
          <w:ilvl w:val="0"/>
          <w:numId w:val="4"/>
        </w:numPr>
        <w:tabs>
          <w:tab w:val="left" w:pos="945"/>
        </w:tabs>
        <w:overflowPunct w:val="0"/>
        <w:snapToGrid w:val="0"/>
        <w:ind w:left="945" w:hanging="420"/>
        <w:rPr>
          <w:rFonts w:hAnsi="宋体"/>
          <w:color w:val="auto"/>
          <w:sz w:val="21"/>
          <w:szCs w:val="24"/>
          <w:highlight w:val="none"/>
        </w:rPr>
      </w:pPr>
      <w:r>
        <w:rPr>
          <w:rFonts w:hint="eastAsia" w:hAnsi="宋体"/>
          <w:color w:val="auto"/>
          <w:sz w:val="21"/>
          <w:szCs w:val="24"/>
          <w:highlight w:val="none"/>
        </w:rPr>
        <w:t>有功功率（</w:t>
      </w:r>
      <w:r>
        <w:rPr>
          <w:rFonts w:hAnsi="宋体"/>
          <w:color w:val="auto"/>
          <w:sz w:val="21"/>
          <w:szCs w:val="24"/>
          <w:highlight w:val="none"/>
        </w:rPr>
        <w:t>kW</w:t>
      </w:r>
      <w:r>
        <w:rPr>
          <w:rFonts w:hint="eastAsia" w:hAnsi="宋体"/>
          <w:color w:val="auto"/>
          <w:sz w:val="21"/>
          <w:szCs w:val="24"/>
          <w:highlight w:val="none"/>
        </w:rPr>
        <w:t>）</w:t>
      </w:r>
    </w:p>
    <w:p>
      <w:pPr>
        <w:numPr>
          <w:ilvl w:val="0"/>
          <w:numId w:val="4"/>
        </w:numPr>
        <w:tabs>
          <w:tab w:val="left" w:pos="945"/>
        </w:tabs>
        <w:overflowPunct w:val="0"/>
        <w:snapToGrid w:val="0"/>
        <w:ind w:left="945" w:hanging="420"/>
        <w:rPr>
          <w:rFonts w:hAnsi="宋体"/>
          <w:color w:val="auto"/>
          <w:sz w:val="21"/>
          <w:szCs w:val="24"/>
          <w:highlight w:val="none"/>
        </w:rPr>
      </w:pPr>
      <w:r>
        <w:rPr>
          <w:rFonts w:hint="eastAsia" w:hAnsi="宋体"/>
          <w:color w:val="auto"/>
          <w:sz w:val="21"/>
          <w:szCs w:val="24"/>
          <w:highlight w:val="none"/>
        </w:rPr>
        <w:t>无功功率（</w:t>
      </w:r>
      <w:r>
        <w:rPr>
          <w:rFonts w:hAnsi="宋体"/>
          <w:color w:val="auto"/>
          <w:sz w:val="21"/>
          <w:szCs w:val="24"/>
          <w:highlight w:val="none"/>
        </w:rPr>
        <w:t>kvar</w:t>
      </w:r>
      <w:r>
        <w:rPr>
          <w:rFonts w:hint="eastAsia" w:hAnsi="宋体"/>
          <w:color w:val="auto"/>
          <w:sz w:val="21"/>
          <w:szCs w:val="24"/>
          <w:highlight w:val="none"/>
        </w:rPr>
        <w:t>）</w:t>
      </w:r>
    </w:p>
    <w:p>
      <w:pPr>
        <w:numPr>
          <w:ilvl w:val="0"/>
          <w:numId w:val="4"/>
        </w:numPr>
        <w:tabs>
          <w:tab w:val="left" w:pos="945"/>
        </w:tabs>
        <w:overflowPunct w:val="0"/>
        <w:snapToGrid w:val="0"/>
        <w:ind w:left="945" w:hanging="420"/>
        <w:rPr>
          <w:rFonts w:hAnsi="宋体"/>
          <w:color w:val="auto"/>
          <w:sz w:val="21"/>
          <w:szCs w:val="24"/>
          <w:highlight w:val="none"/>
        </w:rPr>
      </w:pPr>
      <w:r>
        <w:rPr>
          <w:rFonts w:hint="eastAsia" w:hAnsi="宋体"/>
          <w:color w:val="auto"/>
          <w:sz w:val="21"/>
          <w:szCs w:val="24"/>
          <w:highlight w:val="none"/>
        </w:rPr>
        <w:t>功率因数</w:t>
      </w:r>
      <w:r>
        <w:rPr>
          <w:rFonts w:hAnsi="宋体"/>
          <w:color w:val="auto"/>
          <w:sz w:val="21"/>
          <w:szCs w:val="24"/>
          <w:highlight w:val="none"/>
        </w:rPr>
        <w:t>cos</w:t>
      </w:r>
      <w:r>
        <w:rPr>
          <w:rFonts w:hint="eastAsia" w:hAnsi="宋体"/>
          <w:color w:val="auto"/>
          <w:sz w:val="21"/>
          <w:szCs w:val="24"/>
          <w:highlight w:val="none"/>
        </w:rPr>
        <w:t>φ（包括实时数据以及功率因数曲线，以月统计值储存）</w:t>
      </w:r>
    </w:p>
    <w:p>
      <w:pPr>
        <w:numPr>
          <w:ilvl w:val="0"/>
          <w:numId w:val="4"/>
        </w:numPr>
        <w:tabs>
          <w:tab w:val="left" w:pos="945"/>
        </w:tabs>
        <w:overflowPunct w:val="0"/>
        <w:snapToGrid w:val="0"/>
        <w:rPr>
          <w:rFonts w:hAnsi="宋体"/>
          <w:color w:val="auto"/>
          <w:sz w:val="21"/>
          <w:szCs w:val="24"/>
          <w:highlight w:val="none"/>
        </w:rPr>
      </w:pPr>
      <w:r>
        <w:rPr>
          <w:rFonts w:hint="eastAsia" w:hAnsi="宋体"/>
          <w:color w:val="auto"/>
          <w:sz w:val="21"/>
          <w:szCs w:val="24"/>
          <w:highlight w:val="none"/>
        </w:rPr>
        <w:t>所有故障（状态信息、故障发生次数、总的持续时间和发生日期、月和累计的；内存容量需能储存1</w:t>
      </w:r>
      <w:r>
        <w:rPr>
          <w:rFonts w:hAnsi="宋体"/>
          <w:color w:val="auto"/>
          <w:sz w:val="21"/>
          <w:szCs w:val="24"/>
          <w:highlight w:val="none"/>
        </w:rPr>
        <w:t>00</w:t>
      </w:r>
      <w:r>
        <w:rPr>
          <w:rFonts w:hint="eastAsia" w:hAnsi="宋体"/>
          <w:color w:val="auto"/>
          <w:sz w:val="21"/>
          <w:szCs w:val="24"/>
          <w:highlight w:val="none"/>
        </w:rPr>
        <w:t>条，结合后台可存储超过12个月的资料）</w:t>
      </w:r>
    </w:p>
    <w:p>
      <w:pPr>
        <w:numPr>
          <w:ilvl w:val="0"/>
          <w:numId w:val="4"/>
        </w:numPr>
        <w:tabs>
          <w:tab w:val="left" w:pos="945"/>
        </w:tabs>
        <w:overflowPunct w:val="0"/>
        <w:snapToGrid w:val="0"/>
        <w:ind w:left="945" w:hanging="420"/>
        <w:rPr>
          <w:rFonts w:hAnsi="宋体"/>
          <w:color w:val="auto"/>
          <w:sz w:val="21"/>
          <w:szCs w:val="24"/>
          <w:highlight w:val="none"/>
        </w:rPr>
      </w:pPr>
      <w:r>
        <w:rPr>
          <w:rFonts w:hint="eastAsia" w:hAnsi="宋体"/>
          <w:color w:val="auto"/>
          <w:sz w:val="21"/>
          <w:szCs w:val="24"/>
          <w:highlight w:val="none"/>
        </w:rPr>
        <w:t>温度</w:t>
      </w:r>
    </w:p>
    <w:p>
      <w:pPr>
        <w:snapToGrid w:val="0"/>
        <w:rPr>
          <w:rFonts w:hAnsi="宋体"/>
          <w:color w:val="auto"/>
          <w:sz w:val="21"/>
          <w:szCs w:val="24"/>
          <w:highlight w:val="none"/>
        </w:rPr>
      </w:pPr>
      <w:r>
        <w:rPr>
          <w:rFonts w:hint="eastAsia" w:hAnsi="宋体"/>
          <w:color w:val="auto"/>
          <w:sz w:val="21"/>
          <w:szCs w:val="24"/>
          <w:highlight w:val="none"/>
        </w:rPr>
        <w:t xml:space="preserve">    要求对所有监测资料编制成一定格式的文件，从而能直接调用独立的资料记录系统，应当推荐一个合适的调用接口。</w:t>
      </w:r>
    </w:p>
    <w:p>
      <w:pPr>
        <w:snapToGrid w:val="0"/>
        <w:ind w:firstLine="435"/>
        <w:rPr>
          <w:rFonts w:hAnsi="宋体"/>
          <w:color w:val="auto"/>
          <w:sz w:val="21"/>
          <w:szCs w:val="24"/>
          <w:highlight w:val="none"/>
        </w:rPr>
      </w:pPr>
      <w:r>
        <w:rPr>
          <w:rFonts w:hint="eastAsia" w:hAnsi="宋体"/>
          <w:color w:val="auto"/>
          <w:sz w:val="21"/>
          <w:szCs w:val="24"/>
          <w:highlight w:val="none"/>
        </w:rPr>
        <w:t>逆变器应具有相应通讯接口，能够向中央监控系统等远程监控设备传输数据，并提出具体的连接方案和要求。</w:t>
      </w:r>
    </w:p>
    <w:p>
      <w:pPr>
        <w:overflowPunct w:val="0"/>
        <w:adjustRightInd w:val="0"/>
        <w:snapToGrid w:val="0"/>
        <w:jc w:val="left"/>
        <w:textAlignment w:val="baseline"/>
        <w:outlineLvl w:val="2"/>
        <w:rPr>
          <w:rFonts w:ascii="宋体" w:hAnsi="宋体"/>
          <w:color w:val="auto"/>
          <w:kern w:val="0"/>
          <w:sz w:val="21"/>
          <w:szCs w:val="21"/>
          <w:highlight w:val="none"/>
        </w:rPr>
      </w:pPr>
      <w:bookmarkStart w:id="483" w:name="_Toc510683373"/>
      <w:bookmarkStart w:id="484" w:name="_Toc510722335"/>
      <w:r>
        <w:rPr>
          <w:rFonts w:ascii="宋体" w:hAnsi="宋体"/>
          <w:color w:val="auto"/>
          <w:kern w:val="0"/>
          <w:sz w:val="21"/>
          <w:szCs w:val="21"/>
          <w:highlight w:val="none"/>
        </w:rPr>
        <w:t>1</w:t>
      </w:r>
      <w:r>
        <w:rPr>
          <w:rFonts w:hint="eastAsia" w:ascii="宋体" w:hAnsi="宋体"/>
          <w:color w:val="auto"/>
          <w:kern w:val="0"/>
          <w:sz w:val="21"/>
          <w:szCs w:val="21"/>
          <w:highlight w:val="none"/>
        </w:rPr>
        <w:t>.</w:t>
      </w:r>
      <w:r>
        <w:rPr>
          <w:rFonts w:ascii="宋体" w:hAnsi="宋体"/>
          <w:color w:val="auto"/>
          <w:kern w:val="0"/>
          <w:sz w:val="21"/>
          <w:szCs w:val="21"/>
          <w:highlight w:val="none"/>
        </w:rPr>
        <w:t xml:space="preserve">3 </w:t>
      </w:r>
      <w:r>
        <w:rPr>
          <w:rFonts w:hint="eastAsia" w:ascii="宋体" w:hAnsi="宋体"/>
          <w:color w:val="auto"/>
          <w:kern w:val="0"/>
          <w:sz w:val="21"/>
          <w:szCs w:val="21"/>
          <w:highlight w:val="none"/>
        </w:rPr>
        <w:t>保护</w:t>
      </w:r>
      <w:bookmarkEnd w:id="483"/>
      <w:bookmarkEnd w:id="484"/>
    </w:p>
    <w:p>
      <w:pPr>
        <w:snapToGrid w:val="0"/>
        <w:rPr>
          <w:rFonts w:hAnsi="宋体"/>
          <w:b/>
          <w:color w:val="auto"/>
          <w:sz w:val="21"/>
          <w:szCs w:val="24"/>
          <w:highlight w:val="none"/>
        </w:rPr>
      </w:pPr>
      <w:r>
        <w:rPr>
          <w:rFonts w:hint="eastAsia" w:hAnsi="宋体"/>
          <w:b/>
          <w:color w:val="auto"/>
          <w:sz w:val="21"/>
          <w:szCs w:val="24"/>
          <w:highlight w:val="none"/>
        </w:rPr>
        <w:t xml:space="preserve">    </w:t>
      </w:r>
      <w:r>
        <w:rPr>
          <w:rFonts w:hint="eastAsia" w:hAnsi="宋体"/>
          <w:color w:val="auto"/>
          <w:sz w:val="21"/>
          <w:szCs w:val="24"/>
          <w:highlight w:val="none"/>
        </w:rPr>
        <w:t>（1）防止电接触：</w:t>
      </w:r>
    </w:p>
    <w:p>
      <w:pPr>
        <w:snapToGrid w:val="0"/>
        <w:rPr>
          <w:rFonts w:hAnsi="宋体"/>
          <w:color w:val="auto"/>
          <w:sz w:val="21"/>
          <w:szCs w:val="24"/>
          <w:highlight w:val="none"/>
        </w:rPr>
      </w:pPr>
      <w:r>
        <w:rPr>
          <w:rFonts w:hint="eastAsia" w:hAnsi="宋体"/>
          <w:color w:val="auto"/>
          <w:sz w:val="21"/>
          <w:szCs w:val="24"/>
          <w:highlight w:val="none"/>
        </w:rPr>
        <w:t xml:space="preserve">    逆变器的电气系统应便于运行、试验、检查、维护。电气系统的设计应当保证人员的安全，及防止其他动物可能由于直接或间接接触系统的带电部件所带来的危险，所有带电部件应当有绝缘材料遮蔽，或用合适的屏蔽方式隔离。</w:t>
      </w:r>
    </w:p>
    <w:p>
      <w:pPr>
        <w:tabs>
          <w:tab w:val="left" w:pos="945"/>
        </w:tabs>
        <w:overflowPunct w:val="0"/>
        <w:snapToGrid w:val="0"/>
        <w:ind w:left="525"/>
        <w:rPr>
          <w:rFonts w:hAnsi="宋体"/>
          <w:color w:val="auto"/>
          <w:sz w:val="21"/>
          <w:szCs w:val="24"/>
          <w:highlight w:val="none"/>
        </w:rPr>
      </w:pPr>
      <w:r>
        <w:rPr>
          <w:rFonts w:hint="eastAsia" w:hAnsi="宋体"/>
          <w:color w:val="auto"/>
          <w:sz w:val="21"/>
          <w:szCs w:val="24"/>
          <w:highlight w:val="none"/>
        </w:rPr>
        <w:t>间接接触电气系统的导电部件应具有防止漏电的保护措施。</w:t>
      </w:r>
    </w:p>
    <w:p>
      <w:pPr>
        <w:snapToGrid w:val="0"/>
        <w:rPr>
          <w:rFonts w:hAnsi="宋体"/>
          <w:b/>
          <w:color w:val="auto"/>
          <w:sz w:val="21"/>
          <w:szCs w:val="24"/>
          <w:highlight w:val="none"/>
        </w:rPr>
      </w:pPr>
      <w:r>
        <w:rPr>
          <w:rFonts w:hint="eastAsia" w:hAnsi="宋体"/>
          <w:b/>
          <w:color w:val="auto"/>
          <w:sz w:val="21"/>
          <w:szCs w:val="24"/>
          <w:highlight w:val="none"/>
        </w:rPr>
        <w:t xml:space="preserve">    </w:t>
      </w:r>
      <w:r>
        <w:rPr>
          <w:rFonts w:hint="eastAsia" w:hAnsi="宋体"/>
          <w:color w:val="auto"/>
          <w:sz w:val="21"/>
          <w:szCs w:val="24"/>
          <w:highlight w:val="none"/>
        </w:rPr>
        <w:t>（2）与电网相连的接口：</w:t>
      </w:r>
    </w:p>
    <w:p>
      <w:pPr>
        <w:snapToGrid w:val="0"/>
        <w:rPr>
          <w:rFonts w:hAnsi="宋体"/>
          <w:color w:val="auto"/>
          <w:sz w:val="21"/>
          <w:szCs w:val="24"/>
          <w:highlight w:val="none"/>
        </w:rPr>
      </w:pPr>
      <w:r>
        <w:rPr>
          <w:rFonts w:hint="eastAsia" w:hAnsi="宋体"/>
          <w:color w:val="auto"/>
          <w:sz w:val="21"/>
          <w:szCs w:val="24"/>
          <w:highlight w:val="none"/>
        </w:rPr>
        <w:t xml:space="preserve">    软启动装置或同类系统装置在逆变器并网时将瞬态降至最低，以防逆变器启动时本身的过电压。</w:t>
      </w:r>
    </w:p>
    <w:p>
      <w:pPr>
        <w:snapToGrid w:val="0"/>
        <w:ind w:firstLine="435"/>
        <w:rPr>
          <w:rFonts w:hAnsi="宋体"/>
          <w:color w:val="auto"/>
          <w:sz w:val="21"/>
          <w:szCs w:val="24"/>
          <w:highlight w:val="none"/>
        </w:rPr>
      </w:pPr>
      <w:r>
        <w:rPr>
          <w:rFonts w:hint="eastAsia" w:hAnsi="宋体"/>
          <w:color w:val="auto"/>
          <w:sz w:val="21"/>
          <w:szCs w:val="24"/>
          <w:highlight w:val="none"/>
        </w:rPr>
        <w:t>（3）电器设备的外壳：</w:t>
      </w:r>
    </w:p>
    <w:p>
      <w:pPr>
        <w:snapToGrid w:val="0"/>
        <w:ind w:firstLine="435"/>
        <w:rPr>
          <w:rFonts w:hAnsi="宋体"/>
          <w:color w:val="auto"/>
          <w:sz w:val="21"/>
          <w:szCs w:val="24"/>
          <w:highlight w:val="none"/>
        </w:rPr>
      </w:pPr>
      <w:r>
        <w:rPr>
          <w:rFonts w:hint="eastAsia" w:hAnsi="宋体"/>
          <w:color w:val="auto"/>
          <w:sz w:val="21"/>
          <w:szCs w:val="24"/>
          <w:highlight w:val="none"/>
        </w:rPr>
        <w:t>防止受气候影响的电器设备外壳应同时能防雨雪、防寒、防沙尘、防阳光照射、防盐雾腐蚀。门和盖板应配有专用的锁具，以保证在关闭位置上能安全地闭合。应当满足IEC或同类标准最低规定的要求。所有外壳应当得到合理的防护，布置的位置尽可能减少其暴露在雨水中的可能。在外壳的门为维护或操作而开启时，要注意防止雨水的溅入。</w:t>
      </w:r>
    </w:p>
    <w:p>
      <w:pPr>
        <w:snapToGrid w:val="0"/>
        <w:ind w:firstLine="435"/>
        <w:rPr>
          <w:rFonts w:hAnsi="宋体"/>
          <w:color w:val="auto"/>
          <w:sz w:val="21"/>
          <w:szCs w:val="24"/>
          <w:highlight w:val="none"/>
        </w:rPr>
      </w:pPr>
      <w:r>
        <w:rPr>
          <w:rFonts w:hint="eastAsia" w:hAnsi="宋体"/>
          <w:color w:val="auto"/>
          <w:sz w:val="21"/>
          <w:szCs w:val="24"/>
          <w:highlight w:val="none"/>
        </w:rPr>
        <w:t>（4）电气布线：</w:t>
      </w:r>
    </w:p>
    <w:p>
      <w:pPr>
        <w:snapToGrid w:val="0"/>
        <w:ind w:firstLine="435"/>
        <w:rPr>
          <w:rFonts w:hAnsi="宋体"/>
          <w:color w:val="auto"/>
          <w:sz w:val="21"/>
          <w:szCs w:val="24"/>
          <w:highlight w:val="none"/>
        </w:rPr>
      </w:pPr>
      <w:r>
        <w:rPr>
          <w:rFonts w:hint="eastAsia" w:hAnsi="宋体"/>
          <w:color w:val="auto"/>
          <w:sz w:val="21"/>
          <w:szCs w:val="24"/>
          <w:highlight w:val="none"/>
        </w:rPr>
        <w:t>逆变器电气系统部件间的布线特性须符合IEC227，245，287或相当标准，具体位置和导线需考虑在安装和运行期间承受的应力。直流接线端子要方便接线。</w:t>
      </w:r>
    </w:p>
    <w:p>
      <w:pPr>
        <w:snapToGrid w:val="0"/>
        <w:ind w:firstLine="570"/>
        <w:rPr>
          <w:rFonts w:hAnsi="宋体"/>
          <w:color w:val="auto"/>
          <w:sz w:val="21"/>
          <w:szCs w:val="24"/>
          <w:highlight w:val="none"/>
        </w:rPr>
      </w:pPr>
      <w:r>
        <w:rPr>
          <w:rFonts w:hint="eastAsia" w:hAnsi="宋体"/>
          <w:color w:val="auto"/>
          <w:sz w:val="21"/>
          <w:szCs w:val="24"/>
          <w:highlight w:val="none"/>
        </w:rPr>
        <w:t>导线布置应避免在不同额定电压情况下因导线间的接触产生的过电压。</w:t>
      </w:r>
    </w:p>
    <w:p>
      <w:pPr>
        <w:snapToGrid w:val="0"/>
        <w:ind w:firstLine="570"/>
        <w:rPr>
          <w:rFonts w:hAnsi="宋体"/>
          <w:color w:val="auto"/>
          <w:sz w:val="21"/>
          <w:szCs w:val="24"/>
          <w:highlight w:val="none"/>
        </w:rPr>
      </w:pPr>
      <w:r>
        <w:rPr>
          <w:rFonts w:hint="eastAsia" w:hAnsi="宋体"/>
          <w:color w:val="auto"/>
          <w:sz w:val="21"/>
          <w:szCs w:val="24"/>
          <w:highlight w:val="none"/>
        </w:rPr>
        <w:t>不同耐热等级导线不得在同一导线管内运行，除非每根导线的电流密度不大于允许的最低耐热等级。</w:t>
      </w:r>
    </w:p>
    <w:p>
      <w:pPr>
        <w:snapToGrid w:val="0"/>
        <w:ind w:firstLine="435"/>
        <w:rPr>
          <w:rFonts w:hAnsi="宋体"/>
          <w:color w:val="auto"/>
          <w:sz w:val="21"/>
          <w:szCs w:val="24"/>
          <w:highlight w:val="none"/>
        </w:rPr>
      </w:pPr>
      <w:r>
        <w:rPr>
          <w:rFonts w:hint="eastAsia" w:hAnsi="宋体"/>
          <w:color w:val="auto"/>
          <w:sz w:val="21"/>
          <w:szCs w:val="24"/>
          <w:highlight w:val="none"/>
        </w:rPr>
        <w:t>所有的电缆终端都要接在带有环的端头或安装到接线板。电缆端均须有识别标签或彩码。逆变器的彩码对所有逆变器必须统一。所有的电气连接均要符合IEC标准。</w:t>
      </w:r>
      <w:bookmarkStart w:id="485" w:name="_Toc510722340"/>
      <w:bookmarkStart w:id="486" w:name="_Toc510683378"/>
    </w:p>
    <w:p>
      <w:pPr>
        <w:snapToGrid w:val="0"/>
        <w:ind w:firstLine="435"/>
        <w:rPr>
          <w:rFonts w:hAnsi="宋体"/>
          <w:color w:val="auto"/>
          <w:sz w:val="21"/>
          <w:szCs w:val="24"/>
          <w:highlight w:val="none"/>
        </w:rPr>
      </w:pPr>
      <w:r>
        <w:rPr>
          <w:rFonts w:hint="eastAsia" w:hAnsi="宋体"/>
          <w:color w:val="auto"/>
          <w:sz w:val="21"/>
          <w:szCs w:val="24"/>
          <w:highlight w:val="none"/>
        </w:rPr>
        <w:t>（5</w:t>
      </w:r>
      <w:r>
        <w:rPr>
          <w:rFonts w:hAnsi="宋体"/>
          <w:color w:val="auto"/>
          <w:sz w:val="21"/>
          <w:szCs w:val="24"/>
          <w:highlight w:val="none"/>
        </w:rPr>
        <w:t>）</w:t>
      </w:r>
      <w:r>
        <w:rPr>
          <w:rFonts w:hint="eastAsia" w:hAnsi="宋体"/>
          <w:color w:val="auto"/>
          <w:sz w:val="21"/>
          <w:szCs w:val="24"/>
          <w:highlight w:val="none"/>
        </w:rPr>
        <w:t>接地</w:t>
      </w:r>
      <w:bookmarkEnd w:id="485"/>
      <w:bookmarkEnd w:id="486"/>
    </w:p>
    <w:p>
      <w:pPr>
        <w:snapToGrid w:val="0"/>
        <w:rPr>
          <w:rFonts w:hAnsi="宋体"/>
          <w:color w:val="auto"/>
          <w:sz w:val="21"/>
          <w:szCs w:val="24"/>
          <w:highlight w:val="none"/>
        </w:rPr>
      </w:pPr>
      <w:r>
        <w:rPr>
          <w:rFonts w:hint="eastAsia" w:hAnsi="宋体"/>
          <w:color w:val="auto"/>
          <w:sz w:val="21"/>
          <w:szCs w:val="24"/>
          <w:highlight w:val="none"/>
        </w:rPr>
        <w:t xml:space="preserve">    每台逆变器都应当按逆变器制造厂家推荐的和IEC标准提供接地布置。所有电器框架都要有效地接地。</w:t>
      </w:r>
      <w:bookmarkStart w:id="487" w:name="_Toc510683379"/>
      <w:bookmarkStart w:id="488" w:name="_Toc510722341"/>
    </w:p>
    <w:p>
      <w:pPr>
        <w:snapToGrid w:val="0"/>
        <w:ind w:firstLine="450"/>
        <w:rPr>
          <w:rFonts w:hAnsi="宋体"/>
          <w:color w:val="auto"/>
          <w:sz w:val="21"/>
          <w:szCs w:val="24"/>
          <w:highlight w:val="none"/>
        </w:rPr>
      </w:pPr>
      <w:r>
        <w:rPr>
          <w:rFonts w:hint="eastAsia" w:hAnsi="宋体"/>
          <w:color w:val="auto"/>
          <w:sz w:val="21"/>
          <w:szCs w:val="24"/>
          <w:highlight w:val="none"/>
        </w:rPr>
        <w:t>（6）雷电保护</w:t>
      </w:r>
      <w:bookmarkEnd w:id="487"/>
      <w:bookmarkEnd w:id="488"/>
    </w:p>
    <w:p>
      <w:pPr>
        <w:tabs>
          <w:tab w:val="left" w:pos="1080"/>
        </w:tabs>
        <w:overflowPunct w:val="0"/>
        <w:snapToGrid w:val="0"/>
        <w:ind w:firstLine="504" w:firstLineChars="240"/>
        <w:rPr>
          <w:rFonts w:hAnsi="宋体"/>
          <w:color w:val="auto"/>
          <w:sz w:val="21"/>
          <w:szCs w:val="24"/>
          <w:highlight w:val="none"/>
        </w:rPr>
      </w:pPr>
      <w:r>
        <w:rPr>
          <w:rFonts w:hint="eastAsia" w:hAnsi="宋体"/>
          <w:color w:val="auto"/>
          <w:sz w:val="21"/>
          <w:szCs w:val="24"/>
          <w:highlight w:val="none"/>
        </w:rPr>
        <w:t>逆变器和相关设备应当加以适当保护，以防遭到雷击和由雷电引起的过电压破坏。</w:t>
      </w:r>
    </w:p>
    <w:p>
      <w:pPr>
        <w:tabs>
          <w:tab w:val="left" w:pos="1080"/>
        </w:tabs>
        <w:overflowPunct w:val="0"/>
        <w:snapToGrid w:val="0"/>
        <w:ind w:firstLine="504" w:firstLineChars="240"/>
        <w:rPr>
          <w:rFonts w:hAnsi="宋体"/>
          <w:color w:val="auto"/>
          <w:sz w:val="21"/>
          <w:szCs w:val="24"/>
          <w:highlight w:val="none"/>
        </w:rPr>
      </w:pPr>
      <w:r>
        <w:rPr>
          <w:rFonts w:hint="eastAsia" w:hAnsi="宋体"/>
          <w:color w:val="auto"/>
          <w:sz w:val="21"/>
          <w:szCs w:val="24"/>
          <w:highlight w:val="none"/>
        </w:rPr>
        <w:t>逆变器设备（包括RCMS）必须防止有害的电压瞬态，应当采用过电压保护设施的先进方式。</w:t>
      </w:r>
    </w:p>
    <w:p>
      <w:pPr>
        <w:tabs>
          <w:tab w:val="left" w:pos="1080"/>
        </w:tabs>
        <w:overflowPunct w:val="0"/>
        <w:snapToGrid w:val="0"/>
        <w:ind w:firstLine="504" w:firstLineChars="240"/>
        <w:rPr>
          <w:rFonts w:hAnsi="宋体"/>
          <w:color w:val="auto"/>
          <w:sz w:val="21"/>
          <w:szCs w:val="24"/>
          <w:highlight w:val="none"/>
        </w:rPr>
      </w:pPr>
      <w:r>
        <w:rPr>
          <w:rFonts w:hint="eastAsia" w:hAnsi="宋体"/>
          <w:color w:val="auto"/>
          <w:sz w:val="21"/>
          <w:szCs w:val="24"/>
          <w:highlight w:val="none"/>
        </w:rPr>
        <w:t>保护装置应保证逆变器能够承受雷击，保障逆变器在运行期间处于安全状态。逆变器的避雷器等相关设备与接地网可靠连接。避雷器要符合或超过IEC标准的要求。然而，如果受现场条件限制，必须采取高于可用标准的措施并应同时考虑当前的技术水平。</w:t>
      </w:r>
    </w:p>
    <w:p>
      <w:pPr>
        <w:tabs>
          <w:tab w:val="left" w:pos="1080"/>
        </w:tabs>
        <w:overflowPunct w:val="0"/>
        <w:snapToGrid w:val="0"/>
        <w:ind w:firstLine="504" w:firstLineChars="240"/>
        <w:rPr>
          <w:rFonts w:hAnsi="宋体"/>
          <w:color w:val="auto"/>
          <w:sz w:val="21"/>
          <w:szCs w:val="24"/>
          <w:highlight w:val="none"/>
        </w:rPr>
      </w:pPr>
      <w:r>
        <w:rPr>
          <w:rFonts w:hint="eastAsia" w:hAnsi="宋体"/>
          <w:color w:val="auto"/>
          <w:sz w:val="21"/>
          <w:szCs w:val="24"/>
          <w:highlight w:val="none"/>
        </w:rPr>
        <w:t>因过电压往往产生于外部电网或就地设备，逆变器和控制系统的雷击和电气故障保护应在逆变器和控制系统的互相连接处设置冲击电容器和避雷器。</w:t>
      </w:r>
    </w:p>
    <w:p>
      <w:pPr>
        <w:overflowPunct w:val="0"/>
        <w:adjustRightInd w:val="0"/>
        <w:snapToGrid w:val="0"/>
        <w:jc w:val="left"/>
        <w:textAlignment w:val="baseline"/>
        <w:outlineLvl w:val="2"/>
        <w:rPr>
          <w:rFonts w:ascii="宋体" w:hAnsi="宋体"/>
          <w:color w:val="auto"/>
          <w:kern w:val="0"/>
          <w:sz w:val="21"/>
          <w:szCs w:val="21"/>
          <w:highlight w:val="none"/>
        </w:rPr>
      </w:pPr>
      <w:r>
        <w:rPr>
          <w:rFonts w:ascii="宋体" w:hAnsi="宋体"/>
          <w:color w:val="auto"/>
          <w:kern w:val="0"/>
          <w:sz w:val="21"/>
          <w:szCs w:val="21"/>
          <w:highlight w:val="none"/>
        </w:rPr>
        <w:t>1</w:t>
      </w:r>
      <w:r>
        <w:rPr>
          <w:rFonts w:hint="eastAsia" w:ascii="宋体" w:hAnsi="宋体"/>
          <w:color w:val="auto"/>
          <w:kern w:val="0"/>
          <w:sz w:val="21"/>
          <w:szCs w:val="21"/>
          <w:highlight w:val="none"/>
        </w:rPr>
        <w:t>.4</w:t>
      </w:r>
      <w:r>
        <w:rPr>
          <w:rFonts w:ascii="宋体" w:hAnsi="宋体"/>
          <w:color w:val="auto"/>
          <w:kern w:val="0"/>
          <w:sz w:val="21"/>
          <w:szCs w:val="21"/>
          <w:highlight w:val="none"/>
        </w:rPr>
        <w:t xml:space="preserve"> </w:t>
      </w:r>
      <w:r>
        <w:rPr>
          <w:rFonts w:hint="eastAsia" w:ascii="宋体" w:hAnsi="宋体"/>
          <w:color w:val="auto"/>
          <w:kern w:val="0"/>
          <w:sz w:val="21"/>
          <w:szCs w:val="21"/>
          <w:highlight w:val="none"/>
        </w:rPr>
        <w:t>光伏区</w:t>
      </w:r>
      <w:r>
        <w:rPr>
          <w:rFonts w:hint="eastAsia"/>
          <w:color w:val="auto"/>
          <w:sz w:val="21"/>
          <w:szCs w:val="21"/>
          <w:highlight w:val="none"/>
        </w:rPr>
        <w:t>站控管理系统</w:t>
      </w:r>
    </w:p>
    <w:p>
      <w:pPr>
        <w:numPr>
          <w:ilvl w:val="1"/>
          <w:numId w:val="0"/>
        </w:numPr>
        <w:tabs>
          <w:tab w:val="left" w:pos="525"/>
        </w:tabs>
        <w:ind w:left="525" w:hanging="525"/>
        <w:textAlignment w:val="center"/>
        <w:rPr>
          <w:rFonts w:ascii="宋体" w:hAnsi="宋体"/>
          <w:color w:val="auto"/>
          <w:sz w:val="21"/>
          <w:szCs w:val="21"/>
          <w:highlight w:val="none"/>
        </w:rPr>
      </w:pPr>
      <w:bookmarkStart w:id="489" w:name="_Toc180463579"/>
      <w:r>
        <w:rPr>
          <w:rFonts w:hint="eastAsia" w:ascii="宋体" w:hAnsi="宋体"/>
          <w:color w:val="auto"/>
          <w:sz w:val="21"/>
          <w:szCs w:val="21"/>
          <w:highlight w:val="none"/>
        </w:rPr>
        <w:t>1.4.1基本技术条件</w:t>
      </w:r>
      <w:bookmarkEnd w:id="489"/>
    </w:p>
    <w:p>
      <w:pPr>
        <w:numPr>
          <w:ilvl w:val="2"/>
          <w:numId w:val="0"/>
        </w:numPr>
        <w:tabs>
          <w:tab w:val="left" w:pos="210"/>
          <w:tab w:val="center" w:pos="630"/>
        </w:tabs>
        <w:ind w:left="630" w:hanging="630"/>
        <w:textAlignment w:val="center"/>
        <w:rPr>
          <w:rFonts w:ascii="宋体" w:hAnsi="宋体"/>
          <w:color w:val="auto"/>
          <w:sz w:val="21"/>
          <w:szCs w:val="21"/>
          <w:highlight w:val="none"/>
        </w:rPr>
      </w:pPr>
      <w:r>
        <w:rPr>
          <w:rFonts w:hint="eastAsia" w:ascii="宋体" w:hAnsi="宋体"/>
          <w:color w:val="auto"/>
          <w:sz w:val="21"/>
          <w:szCs w:val="21"/>
          <w:highlight w:val="none"/>
        </w:rPr>
        <w:t>1.4.1.1额定值</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（1）额定交流电压：220V</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（2）额定直流电压：220V</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（3）UPS电压：AC220V</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（4）额定频率：50Hz</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（5）间隔层</w:t>
      </w:r>
      <w:r>
        <w:rPr>
          <w:rFonts w:ascii="宋体" w:hAnsi="宋体"/>
          <w:color w:val="auto"/>
          <w:sz w:val="21"/>
          <w:szCs w:val="21"/>
          <w:highlight w:val="none"/>
        </w:rPr>
        <w:t>设备（</w:t>
      </w:r>
      <w:r>
        <w:rPr>
          <w:rFonts w:hint="eastAsia" w:ascii="宋体" w:hAnsi="宋体"/>
          <w:color w:val="auto"/>
          <w:sz w:val="21"/>
          <w:szCs w:val="21"/>
          <w:highlight w:val="none"/>
        </w:rPr>
        <w:t>包括</w:t>
      </w:r>
      <w:r>
        <w:rPr>
          <w:rFonts w:ascii="宋体" w:hAnsi="宋体"/>
          <w:color w:val="auto"/>
          <w:sz w:val="21"/>
          <w:szCs w:val="21"/>
          <w:highlight w:val="none"/>
        </w:rPr>
        <w:t>网络设备）</w:t>
      </w:r>
      <w:r>
        <w:rPr>
          <w:rFonts w:hint="eastAsia" w:ascii="宋体" w:hAnsi="宋体"/>
          <w:color w:val="auto"/>
          <w:sz w:val="21"/>
          <w:szCs w:val="21"/>
          <w:highlight w:val="none"/>
        </w:rPr>
        <w:t>采用DC/AC 220V,站控层</w:t>
      </w:r>
      <w:r>
        <w:rPr>
          <w:rFonts w:ascii="宋体" w:hAnsi="宋体"/>
          <w:color w:val="auto"/>
          <w:sz w:val="21"/>
          <w:szCs w:val="21"/>
          <w:highlight w:val="none"/>
        </w:rPr>
        <w:t>计算机设备</w:t>
      </w:r>
      <w:r>
        <w:rPr>
          <w:rFonts w:hint="eastAsia" w:ascii="宋体" w:hAnsi="宋体"/>
          <w:color w:val="auto"/>
          <w:sz w:val="21"/>
          <w:szCs w:val="21"/>
          <w:highlight w:val="none"/>
        </w:rPr>
        <w:t>采用AC220V不间断</w:t>
      </w:r>
      <w:r>
        <w:rPr>
          <w:rFonts w:ascii="宋体" w:hAnsi="宋体"/>
          <w:color w:val="auto"/>
          <w:sz w:val="21"/>
          <w:szCs w:val="21"/>
          <w:highlight w:val="none"/>
        </w:rPr>
        <w:t>电源。</w:t>
      </w:r>
    </w:p>
    <w:p>
      <w:pPr>
        <w:numPr>
          <w:ilvl w:val="2"/>
          <w:numId w:val="0"/>
        </w:numPr>
        <w:tabs>
          <w:tab w:val="left" w:pos="210"/>
          <w:tab w:val="center" w:pos="630"/>
        </w:tabs>
        <w:ind w:left="630" w:hanging="630"/>
        <w:textAlignment w:val="center"/>
        <w:rPr>
          <w:rFonts w:ascii="宋体" w:hAnsi="宋体"/>
          <w:color w:val="auto"/>
          <w:sz w:val="21"/>
          <w:szCs w:val="21"/>
          <w:highlight w:val="none"/>
        </w:rPr>
      </w:pPr>
      <w:r>
        <w:rPr>
          <w:rFonts w:hint="eastAsia" w:ascii="宋体" w:hAnsi="宋体"/>
          <w:color w:val="auto"/>
          <w:sz w:val="21"/>
          <w:szCs w:val="21"/>
          <w:highlight w:val="none"/>
        </w:rPr>
        <w:t>1.4.2接地与隔离要求</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站控管理系统不设置单独的接地网，接地线与升压站主接地网连接。系统的机箱、机柜以及电缆屏蔽层均应可靠接地。监控系统各间隔之间，间隔层与站控层之间的连接，以及设备通信口之间的连接应有隔离措施。</w:t>
      </w:r>
    </w:p>
    <w:p>
      <w:pPr>
        <w:numPr>
          <w:ilvl w:val="2"/>
          <w:numId w:val="0"/>
        </w:numPr>
        <w:tabs>
          <w:tab w:val="left" w:pos="210"/>
          <w:tab w:val="center" w:pos="630"/>
        </w:tabs>
        <w:ind w:left="630" w:hanging="630"/>
        <w:textAlignment w:val="center"/>
        <w:rPr>
          <w:rFonts w:ascii="宋体" w:hAnsi="宋体"/>
          <w:color w:val="auto"/>
          <w:sz w:val="21"/>
          <w:szCs w:val="21"/>
          <w:highlight w:val="none"/>
        </w:rPr>
      </w:pPr>
      <w:r>
        <w:rPr>
          <w:rFonts w:hint="eastAsia" w:ascii="宋体" w:hAnsi="宋体"/>
          <w:color w:val="auto"/>
          <w:sz w:val="21"/>
          <w:szCs w:val="21"/>
          <w:highlight w:val="none"/>
        </w:rPr>
        <w:t>1.4.3环境温度要求</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站控管理系统屏（柜）为室内布置，当室内温度5～+4</w:t>
      </w:r>
      <w:r>
        <w:rPr>
          <w:rFonts w:ascii="宋体" w:hAnsi="宋体"/>
          <w:color w:val="auto"/>
          <w:sz w:val="21"/>
          <w:szCs w:val="21"/>
          <w:highlight w:val="none"/>
        </w:rPr>
        <w:t>0</w:t>
      </w:r>
      <w:r>
        <w:rPr>
          <w:rFonts w:hint="eastAsia" w:ascii="宋体" w:hAnsi="宋体"/>
          <w:color w:val="auto"/>
          <w:sz w:val="21"/>
          <w:szCs w:val="21"/>
          <w:highlight w:val="none"/>
        </w:rPr>
        <w:t>℃；装置应能满足规范书所规定的精度。室内温度在</w:t>
      </w:r>
      <w:r>
        <w:rPr>
          <w:rFonts w:ascii="宋体" w:hAnsi="宋体"/>
          <w:color w:val="auto"/>
          <w:sz w:val="21"/>
          <w:szCs w:val="21"/>
          <w:highlight w:val="none"/>
        </w:rPr>
        <w:t>-5</w:t>
      </w:r>
      <w:r>
        <w:rPr>
          <w:rFonts w:hint="eastAsia" w:ascii="宋体" w:hAnsi="宋体"/>
          <w:color w:val="auto"/>
          <w:sz w:val="21"/>
          <w:szCs w:val="21"/>
          <w:highlight w:val="none"/>
        </w:rPr>
        <w:t>～+</w:t>
      </w:r>
      <w:r>
        <w:rPr>
          <w:rFonts w:ascii="宋体" w:hAnsi="宋体"/>
          <w:color w:val="auto"/>
          <w:sz w:val="21"/>
          <w:szCs w:val="21"/>
          <w:highlight w:val="none"/>
        </w:rPr>
        <w:t>45</w:t>
      </w:r>
      <w:r>
        <w:rPr>
          <w:rFonts w:hint="eastAsia" w:ascii="宋体" w:hAnsi="宋体"/>
          <w:color w:val="auto"/>
          <w:sz w:val="21"/>
          <w:szCs w:val="21"/>
          <w:highlight w:val="none"/>
        </w:rPr>
        <w:t>℃时，装置应能正常工作，不拒动不误动。</w:t>
      </w:r>
    </w:p>
    <w:p>
      <w:pPr>
        <w:numPr>
          <w:ilvl w:val="2"/>
          <w:numId w:val="0"/>
        </w:numPr>
        <w:tabs>
          <w:tab w:val="left" w:pos="210"/>
          <w:tab w:val="center" w:pos="630"/>
        </w:tabs>
        <w:ind w:left="630" w:hanging="630"/>
        <w:textAlignment w:val="center"/>
        <w:rPr>
          <w:rFonts w:ascii="宋体" w:hAnsi="宋体"/>
          <w:color w:val="auto"/>
          <w:sz w:val="21"/>
          <w:szCs w:val="21"/>
          <w:highlight w:val="none"/>
        </w:rPr>
      </w:pPr>
      <w:r>
        <w:rPr>
          <w:rFonts w:hint="eastAsia" w:ascii="宋体" w:hAnsi="宋体"/>
          <w:color w:val="auto"/>
          <w:sz w:val="21"/>
          <w:szCs w:val="21"/>
          <w:highlight w:val="none"/>
        </w:rPr>
        <w:t>1.4.4电磁兼容性要求</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在雷击过电压、一次回路操作、开关场故障及其它强干扰作用下，在二次回路操作干扰下，装置包括测量元件，逻辑控制元件，均不应误动作。装置不应要求其交直流输入回路外接抗干扰元件来满足有关电磁兼容标准的要求。系统装置的电磁兼容性能应达到下表中的等级要求。</w:t>
      </w:r>
    </w:p>
    <w:p>
      <w:pPr>
        <w:jc w:val="center"/>
        <w:rPr>
          <w:rFonts w:ascii="宋体" w:hAnsi="宋体"/>
          <w:color w:val="auto"/>
          <w:sz w:val="21"/>
          <w:szCs w:val="21"/>
          <w:highlight w:val="none"/>
        </w:rPr>
      </w:pPr>
      <w:r>
        <w:rPr>
          <w:rFonts w:hint="eastAsia" w:ascii="宋体" w:hAnsi="宋体"/>
          <w:color w:val="auto"/>
          <w:sz w:val="21"/>
          <w:szCs w:val="21"/>
          <w:highlight w:val="none"/>
        </w:rPr>
        <w:t>系统装置的电磁兼容性能等级要求</w:t>
      </w:r>
    </w:p>
    <w:tbl>
      <w:tblPr>
        <w:tblStyle w:val="34"/>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43" w:type="dxa"/>
          <w:bottom w:w="0" w:type="dxa"/>
          <w:right w:w="43" w:type="dxa"/>
        </w:tblCellMar>
      </w:tblPr>
      <w:tblGrid>
        <w:gridCol w:w="857"/>
        <w:gridCol w:w="3179"/>
        <w:gridCol w:w="1989"/>
        <w:gridCol w:w="23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3" w:type="dxa"/>
            <w:bottom w:w="0" w:type="dxa"/>
            <w:right w:w="43" w:type="dxa"/>
          </w:tblCellMar>
        </w:tblPrEx>
        <w:trPr>
          <w:trHeight w:val="425" w:hRule="atLeast"/>
        </w:trPr>
        <w:tc>
          <w:tcPr>
            <w:tcW w:w="510" w:type="pct"/>
            <w:vAlign w:val="center"/>
          </w:tcPr>
          <w:p>
            <w:pPr>
              <w:pStyle w:val="103"/>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892" w:type="pct"/>
            <w:vAlign w:val="center"/>
          </w:tcPr>
          <w:p>
            <w:pPr>
              <w:pStyle w:val="103"/>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电磁干扰项目</w:t>
            </w:r>
          </w:p>
        </w:tc>
        <w:tc>
          <w:tcPr>
            <w:tcW w:w="1184" w:type="pct"/>
            <w:vAlign w:val="center"/>
          </w:tcPr>
          <w:p>
            <w:pPr>
              <w:pStyle w:val="103"/>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依据的标准</w:t>
            </w:r>
          </w:p>
        </w:tc>
        <w:tc>
          <w:tcPr>
            <w:tcW w:w="1411" w:type="pct"/>
            <w:vAlign w:val="center"/>
          </w:tcPr>
          <w:p>
            <w:pPr>
              <w:pStyle w:val="103"/>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等级要求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3" w:type="dxa"/>
            <w:bottom w:w="0" w:type="dxa"/>
            <w:right w:w="43" w:type="dxa"/>
          </w:tblCellMar>
        </w:tblPrEx>
        <w:trPr>
          <w:trHeight w:val="425" w:hRule="atLeast"/>
        </w:trPr>
        <w:tc>
          <w:tcPr>
            <w:tcW w:w="510" w:type="pct"/>
            <w:vAlign w:val="center"/>
          </w:tcPr>
          <w:p>
            <w:pPr>
              <w:pStyle w:val="103"/>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892"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静电放电干扰</w:t>
            </w:r>
          </w:p>
        </w:tc>
        <w:tc>
          <w:tcPr>
            <w:tcW w:w="1184"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GB/T 17626.2</w:t>
            </w:r>
          </w:p>
        </w:tc>
        <w:tc>
          <w:tcPr>
            <w:tcW w:w="1411"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4级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3" w:type="dxa"/>
            <w:bottom w:w="0" w:type="dxa"/>
            <w:right w:w="43" w:type="dxa"/>
          </w:tblCellMar>
        </w:tblPrEx>
        <w:trPr>
          <w:trHeight w:val="425" w:hRule="atLeast"/>
        </w:trPr>
        <w:tc>
          <w:tcPr>
            <w:tcW w:w="510" w:type="pct"/>
            <w:vAlign w:val="center"/>
          </w:tcPr>
          <w:p>
            <w:pPr>
              <w:pStyle w:val="103"/>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892"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辐射电磁场干扰</w:t>
            </w:r>
          </w:p>
        </w:tc>
        <w:tc>
          <w:tcPr>
            <w:tcW w:w="1184"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GB/T 17626.3</w:t>
            </w:r>
          </w:p>
        </w:tc>
        <w:tc>
          <w:tcPr>
            <w:tcW w:w="1411"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3级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3" w:type="dxa"/>
            <w:bottom w:w="0" w:type="dxa"/>
            <w:right w:w="43" w:type="dxa"/>
          </w:tblCellMar>
        </w:tblPrEx>
        <w:trPr>
          <w:trHeight w:val="425" w:hRule="atLeast"/>
        </w:trPr>
        <w:tc>
          <w:tcPr>
            <w:tcW w:w="510" w:type="pct"/>
            <w:vAlign w:val="center"/>
          </w:tcPr>
          <w:p>
            <w:pPr>
              <w:pStyle w:val="103"/>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892"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快速瞬变干扰</w:t>
            </w:r>
          </w:p>
        </w:tc>
        <w:tc>
          <w:tcPr>
            <w:tcW w:w="1184"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GB/T 17626.4</w:t>
            </w:r>
          </w:p>
        </w:tc>
        <w:tc>
          <w:tcPr>
            <w:tcW w:w="1411"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4级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3" w:type="dxa"/>
            <w:bottom w:w="0" w:type="dxa"/>
            <w:right w:w="43" w:type="dxa"/>
          </w:tblCellMar>
        </w:tblPrEx>
        <w:trPr>
          <w:trHeight w:val="425" w:hRule="atLeast"/>
        </w:trPr>
        <w:tc>
          <w:tcPr>
            <w:tcW w:w="510" w:type="pct"/>
            <w:vAlign w:val="center"/>
          </w:tcPr>
          <w:p>
            <w:pPr>
              <w:pStyle w:val="103"/>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892"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浪涌（冲击）抗扰度</w:t>
            </w:r>
          </w:p>
        </w:tc>
        <w:tc>
          <w:tcPr>
            <w:tcW w:w="1184"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GB/T 17626.5</w:t>
            </w:r>
          </w:p>
        </w:tc>
        <w:tc>
          <w:tcPr>
            <w:tcW w:w="1411"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3级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3" w:type="dxa"/>
            <w:bottom w:w="0" w:type="dxa"/>
            <w:right w:w="43" w:type="dxa"/>
          </w:tblCellMar>
        </w:tblPrEx>
        <w:trPr>
          <w:trHeight w:val="425" w:hRule="atLeast"/>
        </w:trPr>
        <w:tc>
          <w:tcPr>
            <w:tcW w:w="510" w:type="pct"/>
            <w:vAlign w:val="center"/>
          </w:tcPr>
          <w:p>
            <w:pPr>
              <w:pStyle w:val="103"/>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892"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电磁感应的传导</w:t>
            </w:r>
          </w:p>
        </w:tc>
        <w:tc>
          <w:tcPr>
            <w:tcW w:w="1184"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GB/T 17626.6</w:t>
            </w:r>
          </w:p>
        </w:tc>
        <w:tc>
          <w:tcPr>
            <w:tcW w:w="1411"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3级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3" w:type="dxa"/>
            <w:bottom w:w="0" w:type="dxa"/>
            <w:right w:w="43" w:type="dxa"/>
          </w:tblCellMar>
        </w:tblPrEx>
        <w:trPr>
          <w:trHeight w:val="425" w:hRule="atLeast"/>
        </w:trPr>
        <w:tc>
          <w:tcPr>
            <w:tcW w:w="510" w:type="pct"/>
            <w:vAlign w:val="center"/>
          </w:tcPr>
          <w:p>
            <w:pPr>
              <w:pStyle w:val="103"/>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892"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工频磁场抗扰度</w:t>
            </w:r>
          </w:p>
        </w:tc>
        <w:tc>
          <w:tcPr>
            <w:tcW w:w="1184"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GB/T 17626.8</w:t>
            </w:r>
          </w:p>
        </w:tc>
        <w:tc>
          <w:tcPr>
            <w:tcW w:w="1411"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5级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3" w:type="dxa"/>
            <w:bottom w:w="0" w:type="dxa"/>
            <w:right w:w="43" w:type="dxa"/>
          </w:tblCellMar>
        </w:tblPrEx>
        <w:trPr>
          <w:trHeight w:val="425" w:hRule="atLeast"/>
        </w:trPr>
        <w:tc>
          <w:tcPr>
            <w:tcW w:w="510" w:type="pct"/>
            <w:vAlign w:val="center"/>
          </w:tcPr>
          <w:p>
            <w:pPr>
              <w:pStyle w:val="103"/>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892"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脉冲磁场抗扰度</w:t>
            </w:r>
          </w:p>
        </w:tc>
        <w:tc>
          <w:tcPr>
            <w:tcW w:w="1184"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GB/T 17626.9</w:t>
            </w:r>
          </w:p>
        </w:tc>
        <w:tc>
          <w:tcPr>
            <w:tcW w:w="1411"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5级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3" w:type="dxa"/>
            <w:bottom w:w="0" w:type="dxa"/>
            <w:right w:w="43" w:type="dxa"/>
          </w:tblCellMar>
        </w:tblPrEx>
        <w:trPr>
          <w:trHeight w:val="425" w:hRule="atLeast"/>
        </w:trPr>
        <w:tc>
          <w:tcPr>
            <w:tcW w:w="510" w:type="pct"/>
            <w:vAlign w:val="center"/>
          </w:tcPr>
          <w:p>
            <w:pPr>
              <w:pStyle w:val="103"/>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8</w:t>
            </w:r>
          </w:p>
        </w:tc>
        <w:tc>
          <w:tcPr>
            <w:tcW w:w="1892"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阻尼振荡磁场抗扰度</w:t>
            </w:r>
          </w:p>
        </w:tc>
        <w:tc>
          <w:tcPr>
            <w:tcW w:w="1184"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GB/T 17626.10</w:t>
            </w:r>
          </w:p>
        </w:tc>
        <w:tc>
          <w:tcPr>
            <w:tcW w:w="1411"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5级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43" w:type="dxa"/>
            <w:bottom w:w="0" w:type="dxa"/>
            <w:right w:w="43" w:type="dxa"/>
          </w:tblCellMar>
        </w:tblPrEx>
        <w:trPr>
          <w:trHeight w:val="425" w:hRule="atLeast"/>
        </w:trPr>
        <w:tc>
          <w:tcPr>
            <w:tcW w:w="510" w:type="pct"/>
            <w:vAlign w:val="center"/>
          </w:tcPr>
          <w:p>
            <w:pPr>
              <w:pStyle w:val="103"/>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9</w:t>
            </w:r>
          </w:p>
        </w:tc>
        <w:tc>
          <w:tcPr>
            <w:tcW w:w="1892"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振铃波抗扰度</w:t>
            </w:r>
          </w:p>
        </w:tc>
        <w:tc>
          <w:tcPr>
            <w:tcW w:w="1184"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GB/T 17626.12</w:t>
            </w:r>
          </w:p>
        </w:tc>
        <w:tc>
          <w:tcPr>
            <w:tcW w:w="1411" w:type="pct"/>
            <w:vAlign w:val="center"/>
          </w:tcPr>
          <w:p>
            <w:pPr>
              <w:pStyle w:val="103"/>
              <w:spacing w:line="360" w:lineRule="auto"/>
              <w:rPr>
                <w:rFonts w:ascii="宋体" w:hAnsi="宋体"/>
                <w:color w:val="auto"/>
                <w:sz w:val="21"/>
                <w:szCs w:val="21"/>
                <w:highlight w:val="none"/>
              </w:rPr>
            </w:pPr>
            <w:r>
              <w:rPr>
                <w:rFonts w:hint="eastAsia" w:ascii="宋体" w:hAnsi="宋体"/>
                <w:color w:val="auto"/>
                <w:sz w:val="21"/>
                <w:szCs w:val="21"/>
                <w:highlight w:val="none"/>
              </w:rPr>
              <w:t>3级</w:t>
            </w:r>
          </w:p>
        </w:tc>
      </w:tr>
    </w:tbl>
    <w:p>
      <w:pPr>
        <w:numPr>
          <w:ilvl w:val="2"/>
          <w:numId w:val="0"/>
        </w:numPr>
        <w:tabs>
          <w:tab w:val="left" w:pos="210"/>
          <w:tab w:val="center" w:pos="630"/>
        </w:tabs>
        <w:spacing w:before="120" w:beforeLines="50"/>
        <w:ind w:left="629" w:hanging="629"/>
        <w:textAlignment w:val="center"/>
        <w:rPr>
          <w:rFonts w:ascii="宋体" w:hAnsi="宋体"/>
          <w:color w:val="auto"/>
          <w:sz w:val="21"/>
          <w:szCs w:val="21"/>
          <w:highlight w:val="none"/>
        </w:rPr>
      </w:pPr>
      <w:r>
        <w:rPr>
          <w:rFonts w:hint="eastAsia" w:ascii="宋体" w:hAnsi="宋体"/>
          <w:color w:val="auto"/>
          <w:sz w:val="21"/>
          <w:szCs w:val="21"/>
          <w:highlight w:val="none"/>
        </w:rPr>
        <w:t>1.4.5直流电源的影响</w:t>
      </w:r>
    </w:p>
    <w:p>
      <w:pPr>
        <w:tabs>
          <w:tab w:val="left" w:pos="945"/>
          <w:tab w:val="left" w:pos="2700"/>
        </w:tabs>
        <w:textAlignment w:val="center"/>
        <w:rPr>
          <w:rFonts w:ascii="宋体" w:hAnsi="宋体"/>
          <w:color w:val="auto"/>
          <w:sz w:val="21"/>
          <w:szCs w:val="21"/>
          <w:highlight w:val="none"/>
        </w:rPr>
      </w:pPr>
      <w:r>
        <w:rPr>
          <w:rFonts w:hint="eastAsia" w:ascii="宋体" w:hAnsi="宋体"/>
          <w:color w:val="auto"/>
          <w:sz w:val="21"/>
          <w:szCs w:val="21"/>
          <w:highlight w:val="none"/>
        </w:rPr>
        <w:t>1.4.5.1 I/O测控装置屏（柜）可采用一路直流供电方式，也可采用两路直流互为备用供电方式。各装置应具有直流快速小开关，与装置安装在同一面屏（柜）上。应对监测屏（柜）上整个直流电压回路进行监视，当在该直流回路中任何一处发生断线或短路时，都应发告警信号。</w:t>
      </w:r>
    </w:p>
    <w:p>
      <w:pPr>
        <w:tabs>
          <w:tab w:val="left" w:pos="945"/>
          <w:tab w:val="left" w:pos="2700"/>
        </w:tabs>
        <w:textAlignment w:val="center"/>
        <w:rPr>
          <w:rFonts w:ascii="宋体" w:hAnsi="宋体"/>
          <w:color w:val="auto"/>
          <w:sz w:val="21"/>
          <w:szCs w:val="21"/>
          <w:highlight w:val="none"/>
        </w:rPr>
      </w:pPr>
      <w:r>
        <w:rPr>
          <w:rFonts w:hint="eastAsia" w:ascii="宋体" w:hAnsi="宋体"/>
          <w:color w:val="auto"/>
          <w:sz w:val="21"/>
          <w:szCs w:val="21"/>
          <w:highlight w:val="none"/>
        </w:rPr>
        <w:t xml:space="preserve">1.4.5.2直流电源电压在80%～115%额定值范围内变化时，装置应正确工作。直流电源波纹系数≤5%时，装置应正确工作。 </w:t>
      </w:r>
    </w:p>
    <w:p>
      <w:pPr>
        <w:tabs>
          <w:tab w:val="left" w:pos="945"/>
          <w:tab w:val="left" w:pos="2700"/>
        </w:tabs>
        <w:textAlignment w:val="center"/>
        <w:rPr>
          <w:rFonts w:ascii="宋体" w:hAnsi="宋体"/>
          <w:color w:val="auto"/>
          <w:sz w:val="21"/>
          <w:szCs w:val="21"/>
          <w:highlight w:val="none"/>
        </w:rPr>
      </w:pPr>
      <w:r>
        <w:rPr>
          <w:rFonts w:hint="eastAsia" w:ascii="宋体" w:hAnsi="宋体"/>
          <w:color w:val="auto"/>
          <w:sz w:val="21"/>
          <w:szCs w:val="21"/>
          <w:highlight w:val="none"/>
        </w:rPr>
        <w:t>1.4.5.3拉合直流电源以及插拔熔丝发生重复击穿火花时，装置不应误动作。直流电源回路出现各种异常情况（如短路、断线、接地等）时装置不应误动作。</w:t>
      </w:r>
    </w:p>
    <w:p>
      <w:pPr>
        <w:tabs>
          <w:tab w:val="left" w:pos="945"/>
          <w:tab w:val="left" w:pos="2700"/>
        </w:tabs>
        <w:textAlignment w:val="center"/>
        <w:rPr>
          <w:rFonts w:ascii="宋体" w:hAnsi="宋体"/>
          <w:color w:val="auto"/>
          <w:sz w:val="21"/>
          <w:szCs w:val="21"/>
          <w:highlight w:val="none"/>
        </w:rPr>
      </w:pPr>
      <w:r>
        <w:rPr>
          <w:rFonts w:hint="eastAsia" w:ascii="宋体" w:hAnsi="宋体"/>
          <w:color w:val="auto"/>
          <w:sz w:val="21"/>
          <w:szCs w:val="21"/>
          <w:highlight w:val="none"/>
        </w:rPr>
        <w:t>1.4.5.4各装置的逻辑回路应由独立的直流/直流逆变器供电，在直流电源恢复（包括缓慢恢复）至额定电压的80％时，装置的直流变换电源应能可靠自起动。</w:t>
      </w:r>
    </w:p>
    <w:p>
      <w:pPr>
        <w:tabs>
          <w:tab w:val="left" w:pos="945"/>
          <w:tab w:val="left" w:pos="2700"/>
        </w:tabs>
        <w:textAlignment w:val="center"/>
        <w:rPr>
          <w:rFonts w:ascii="宋体" w:hAnsi="宋体"/>
          <w:color w:val="auto"/>
          <w:sz w:val="21"/>
          <w:szCs w:val="21"/>
          <w:highlight w:val="none"/>
        </w:rPr>
      </w:pPr>
      <w:r>
        <w:rPr>
          <w:rFonts w:hint="eastAsia" w:ascii="宋体" w:hAnsi="宋体"/>
          <w:color w:val="auto"/>
          <w:sz w:val="21"/>
          <w:szCs w:val="21"/>
          <w:highlight w:val="none"/>
        </w:rPr>
        <w:t>1.4.5.5当交流电源电压在85%～110%额定值范围内，谐波分量不大于5%，频率在47.5～52.5Hz之间变化时，设备应能正常工作。</w:t>
      </w:r>
    </w:p>
    <w:p>
      <w:pPr>
        <w:numPr>
          <w:ilvl w:val="2"/>
          <w:numId w:val="0"/>
        </w:numPr>
        <w:tabs>
          <w:tab w:val="left" w:pos="210"/>
          <w:tab w:val="center" w:pos="630"/>
        </w:tabs>
        <w:ind w:left="630" w:hanging="630"/>
        <w:textAlignment w:val="center"/>
        <w:rPr>
          <w:rFonts w:ascii="宋体" w:hAnsi="宋体"/>
          <w:color w:val="auto"/>
          <w:sz w:val="21"/>
          <w:szCs w:val="21"/>
          <w:highlight w:val="none"/>
        </w:rPr>
      </w:pPr>
      <w:r>
        <w:rPr>
          <w:rFonts w:hint="eastAsia" w:ascii="宋体" w:hAnsi="宋体"/>
          <w:color w:val="auto"/>
          <w:sz w:val="21"/>
          <w:szCs w:val="21"/>
          <w:highlight w:val="none"/>
        </w:rPr>
        <w:t>1.4.6自诊断功能</w:t>
      </w:r>
    </w:p>
    <w:p>
      <w:pPr>
        <w:numPr>
          <w:ilvl w:val="3"/>
          <w:numId w:val="0"/>
        </w:numPr>
        <w:tabs>
          <w:tab w:val="left" w:pos="945"/>
          <w:tab w:val="left" w:pos="2700"/>
        </w:tabs>
        <w:textAlignment w:val="center"/>
        <w:rPr>
          <w:rFonts w:ascii="宋体" w:hAnsi="宋体"/>
          <w:color w:val="auto"/>
          <w:sz w:val="21"/>
          <w:szCs w:val="21"/>
          <w:highlight w:val="none"/>
        </w:rPr>
      </w:pPr>
      <w:r>
        <w:rPr>
          <w:rFonts w:hint="eastAsia" w:ascii="宋体" w:hAnsi="宋体"/>
          <w:color w:val="auto"/>
          <w:sz w:val="21"/>
          <w:szCs w:val="21"/>
          <w:highlight w:val="none"/>
        </w:rPr>
        <w:t>1.4.6.1装置异常及交直流消失等应有告警信号及各装置应有自诊断功能，装置本身也应有LED信号指示。</w:t>
      </w:r>
    </w:p>
    <w:p>
      <w:pPr>
        <w:numPr>
          <w:ilvl w:val="3"/>
          <w:numId w:val="0"/>
        </w:numPr>
        <w:tabs>
          <w:tab w:val="left" w:pos="945"/>
          <w:tab w:val="left" w:pos="2700"/>
        </w:tabs>
        <w:textAlignment w:val="center"/>
        <w:rPr>
          <w:rFonts w:ascii="宋体" w:hAnsi="宋体"/>
          <w:color w:val="auto"/>
          <w:sz w:val="21"/>
          <w:szCs w:val="21"/>
          <w:highlight w:val="none"/>
        </w:rPr>
      </w:pPr>
      <w:r>
        <w:rPr>
          <w:rFonts w:hint="eastAsia" w:ascii="宋体" w:hAnsi="宋体"/>
          <w:color w:val="auto"/>
          <w:sz w:val="21"/>
          <w:szCs w:val="21"/>
          <w:highlight w:val="none"/>
        </w:rPr>
        <w:t>1.4.6.2配置的软件应与系统的硬件资源相适应，除系统软件、应用软件外，还应配置在线故障诊断软件，数据库应考虑具有在线修改运行参数、在线修改屏幕显示画面等功能。软件设计应遵循模块化和向下兼容的原则。软件技术规范、汉字编码、点阵、字型等都应符合相应的中国国家标准。</w:t>
      </w:r>
    </w:p>
    <w:p>
      <w:pPr>
        <w:numPr>
          <w:ilvl w:val="2"/>
          <w:numId w:val="0"/>
        </w:numPr>
        <w:tabs>
          <w:tab w:val="left" w:pos="210"/>
          <w:tab w:val="center" w:pos="630"/>
        </w:tabs>
        <w:ind w:left="630" w:hanging="630"/>
        <w:textAlignment w:val="center"/>
        <w:rPr>
          <w:rFonts w:ascii="宋体" w:hAnsi="宋体"/>
          <w:color w:val="auto"/>
          <w:sz w:val="21"/>
          <w:szCs w:val="21"/>
          <w:highlight w:val="none"/>
        </w:rPr>
      </w:pPr>
      <w:r>
        <w:rPr>
          <w:rFonts w:hint="eastAsia" w:ascii="宋体" w:hAnsi="宋体"/>
          <w:color w:val="auto"/>
          <w:sz w:val="21"/>
          <w:szCs w:val="21"/>
          <w:highlight w:val="none"/>
        </w:rPr>
        <w:t>1.4.7其他要求</w:t>
      </w:r>
    </w:p>
    <w:p>
      <w:pPr>
        <w:numPr>
          <w:ilvl w:val="4"/>
          <w:numId w:val="0"/>
        </w:numPr>
        <w:tabs>
          <w:tab w:val="left" w:pos="945"/>
          <w:tab w:val="left" w:pos="2700"/>
        </w:tabs>
        <w:textAlignment w:val="center"/>
        <w:rPr>
          <w:rFonts w:ascii="宋体" w:hAnsi="宋体"/>
          <w:color w:val="auto"/>
          <w:sz w:val="21"/>
          <w:szCs w:val="21"/>
          <w:highlight w:val="none"/>
        </w:rPr>
      </w:pPr>
      <w:r>
        <w:rPr>
          <w:rFonts w:hint="eastAsia" w:ascii="宋体" w:hAnsi="宋体"/>
          <w:color w:val="auto"/>
          <w:sz w:val="21"/>
          <w:szCs w:val="21"/>
          <w:highlight w:val="none"/>
        </w:rPr>
        <w:t>1.4.7.1屏（柜）上各测控装置应有隔离措施，以便根据不同运行方式的需要断开或连接。</w:t>
      </w:r>
    </w:p>
    <w:p>
      <w:pPr>
        <w:numPr>
          <w:ilvl w:val="4"/>
          <w:numId w:val="0"/>
        </w:numPr>
        <w:tabs>
          <w:tab w:val="left" w:pos="945"/>
          <w:tab w:val="left" w:pos="2700"/>
        </w:tabs>
        <w:textAlignment w:val="center"/>
        <w:rPr>
          <w:rFonts w:ascii="宋体" w:hAnsi="宋体"/>
          <w:color w:val="auto"/>
          <w:sz w:val="21"/>
          <w:szCs w:val="21"/>
          <w:highlight w:val="none"/>
        </w:rPr>
      </w:pPr>
      <w:r>
        <w:rPr>
          <w:rFonts w:hint="eastAsia" w:ascii="宋体" w:hAnsi="宋体"/>
          <w:color w:val="auto"/>
          <w:sz w:val="21"/>
          <w:szCs w:val="21"/>
          <w:highlight w:val="none"/>
        </w:rPr>
        <w:t>1.4.7.2装置中任一元件损坏时，装置不应误动作。</w:t>
      </w:r>
    </w:p>
    <w:p>
      <w:pPr>
        <w:numPr>
          <w:ilvl w:val="4"/>
          <w:numId w:val="0"/>
        </w:numPr>
        <w:tabs>
          <w:tab w:val="left" w:pos="945"/>
          <w:tab w:val="left" w:pos="2700"/>
        </w:tabs>
        <w:textAlignment w:val="center"/>
        <w:rPr>
          <w:rFonts w:ascii="宋体" w:hAnsi="宋体"/>
          <w:color w:val="auto"/>
          <w:sz w:val="21"/>
          <w:szCs w:val="21"/>
          <w:highlight w:val="none"/>
        </w:rPr>
      </w:pPr>
      <w:r>
        <w:rPr>
          <w:rFonts w:hint="eastAsia" w:ascii="宋体" w:hAnsi="宋体"/>
          <w:color w:val="auto"/>
          <w:sz w:val="21"/>
          <w:szCs w:val="21"/>
          <w:highlight w:val="none"/>
        </w:rPr>
        <w:t>1.4.7.3站控管理系统中任一设备故障时，均不应影响其它设备的正常运行工作；站级控制层发生故障而停运时，不能影响间隔级控制层设备的正常运行工作。</w:t>
      </w:r>
    </w:p>
    <w:p>
      <w:pPr>
        <w:numPr>
          <w:ilvl w:val="1"/>
          <w:numId w:val="0"/>
        </w:numPr>
        <w:tabs>
          <w:tab w:val="left" w:pos="525"/>
        </w:tabs>
        <w:ind w:left="525" w:hanging="525"/>
        <w:textAlignment w:val="center"/>
        <w:outlineLvl w:val="3"/>
        <w:rPr>
          <w:rFonts w:ascii="宋体" w:hAnsi="宋体"/>
          <w:color w:val="auto"/>
          <w:sz w:val="21"/>
          <w:szCs w:val="21"/>
          <w:highlight w:val="none"/>
        </w:rPr>
      </w:pPr>
      <w:bookmarkStart w:id="490" w:name="_Toc180463580"/>
      <w:r>
        <w:rPr>
          <w:rFonts w:hint="eastAsia" w:ascii="宋体" w:hAnsi="宋体"/>
          <w:color w:val="auto"/>
          <w:sz w:val="21"/>
          <w:szCs w:val="21"/>
          <w:highlight w:val="none"/>
        </w:rPr>
        <w:t>1.4.8技术性能要求</w:t>
      </w:r>
      <w:bookmarkEnd w:id="490"/>
    </w:p>
    <w:p>
      <w:pPr>
        <w:numPr>
          <w:ilvl w:val="5"/>
          <w:numId w:val="0"/>
        </w:numPr>
        <w:tabs>
          <w:tab w:val="left" w:pos="735"/>
        </w:tabs>
        <w:ind w:left="2520" w:hanging="2520"/>
        <w:rPr>
          <w:rFonts w:ascii="宋体" w:hAnsi="宋体"/>
          <w:color w:val="auto"/>
          <w:sz w:val="21"/>
          <w:szCs w:val="21"/>
          <w:highlight w:val="none"/>
        </w:rPr>
      </w:pPr>
      <w:bookmarkStart w:id="491" w:name="_Toc180463581"/>
      <w:r>
        <w:rPr>
          <w:rFonts w:hint="eastAsia" w:ascii="宋体" w:hAnsi="宋体"/>
          <w:color w:val="auto"/>
          <w:sz w:val="21"/>
          <w:szCs w:val="21"/>
          <w:highlight w:val="none"/>
        </w:rPr>
        <w:t>1.4.8.1站控管理系统配置</w:t>
      </w:r>
      <w:bookmarkEnd w:id="491"/>
    </w:p>
    <w:p>
      <w:pPr>
        <w:tabs>
          <w:tab w:val="left" w:pos="2700"/>
        </w:tabs>
        <w:ind w:firstLine="420" w:firstLineChars="200"/>
        <w:textAlignment w:val="center"/>
        <w:rPr>
          <w:rFonts w:ascii="宋体" w:hAnsi="宋体"/>
          <w:bCs/>
          <w:color w:val="auto"/>
          <w:sz w:val="21"/>
          <w:szCs w:val="21"/>
          <w:highlight w:val="none"/>
        </w:rPr>
      </w:pPr>
      <w:r>
        <w:rPr>
          <w:rFonts w:hint="eastAsia" w:ascii="宋体" w:hAnsi="宋体"/>
          <w:color w:val="auto"/>
          <w:sz w:val="21"/>
          <w:szCs w:val="21"/>
          <w:highlight w:val="none"/>
        </w:rPr>
        <w:t>光伏阵列区站控管理</w:t>
      </w:r>
      <w:r>
        <w:rPr>
          <w:rFonts w:ascii="宋体" w:hAnsi="宋体"/>
          <w:color w:val="auto"/>
          <w:sz w:val="21"/>
          <w:szCs w:val="21"/>
          <w:highlight w:val="none"/>
        </w:rPr>
        <w:t>系统</w:t>
      </w:r>
      <w:r>
        <w:rPr>
          <w:rFonts w:ascii="宋体" w:hAnsi="宋体"/>
          <w:bCs/>
          <w:color w:val="auto"/>
          <w:sz w:val="21"/>
          <w:szCs w:val="21"/>
          <w:highlight w:val="none"/>
        </w:rPr>
        <w:t>采用</w:t>
      </w:r>
      <w:r>
        <w:rPr>
          <w:rFonts w:hint="eastAsia" w:ascii="宋体" w:hAnsi="宋体"/>
          <w:bCs/>
          <w:color w:val="auto"/>
          <w:sz w:val="21"/>
          <w:szCs w:val="21"/>
          <w:highlight w:val="none"/>
        </w:rPr>
        <w:t>分层</w:t>
      </w:r>
      <w:r>
        <w:rPr>
          <w:rFonts w:ascii="宋体" w:hAnsi="宋体"/>
          <w:bCs/>
          <w:color w:val="auto"/>
          <w:sz w:val="21"/>
          <w:szCs w:val="21"/>
          <w:highlight w:val="none"/>
        </w:rPr>
        <w:t>分布式结构，由</w:t>
      </w:r>
      <w:r>
        <w:rPr>
          <w:rFonts w:hint="eastAsia" w:ascii="宋体" w:hAnsi="宋体"/>
          <w:bCs/>
          <w:color w:val="auto"/>
          <w:sz w:val="21"/>
          <w:szCs w:val="21"/>
          <w:highlight w:val="none"/>
        </w:rPr>
        <w:t>阵列区</w:t>
      </w:r>
      <w:r>
        <w:rPr>
          <w:rFonts w:ascii="宋体" w:hAnsi="宋体"/>
          <w:bCs/>
          <w:color w:val="auto"/>
          <w:sz w:val="21"/>
          <w:szCs w:val="21"/>
          <w:highlight w:val="none"/>
        </w:rPr>
        <w:t>集控层、</w:t>
      </w:r>
      <w:r>
        <w:rPr>
          <w:rFonts w:hint="eastAsia" w:ascii="宋体" w:hAnsi="宋体"/>
          <w:bCs/>
          <w:color w:val="auto"/>
          <w:sz w:val="21"/>
          <w:szCs w:val="21"/>
          <w:highlight w:val="none"/>
        </w:rPr>
        <w:t>阵列区</w:t>
      </w:r>
      <w:r>
        <w:rPr>
          <w:rFonts w:ascii="宋体" w:hAnsi="宋体"/>
          <w:bCs/>
          <w:color w:val="auto"/>
          <w:sz w:val="21"/>
          <w:szCs w:val="21"/>
          <w:highlight w:val="none"/>
        </w:rPr>
        <w:t>现地间隔层和数据通信网络组成</w:t>
      </w:r>
      <w:r>
        <w:rPr>
          <w:rFonts w:hint="eastAsia" w:ascii="宋体" w:hAnsi="宋体"/>
          <w:bCs/>
          <w:color w:val="auto"/>
          <w:sz w:val="21"/>
          <w:szCs w:val="21"/>
          <w:highlight w:val="none"/>
        </w:rPr>
        <w:t>。设备配置需满足至少监控500MWp容量的光伏区设备，包括逆变器、箱变等。站控管理系统采用</w:t>
      </w:r>
      <w:r>
        <w:rPr>
          <w:rFonts w:hint="eastAsia" w:ascii="宋体" w:hAnsi="宋体" w:cs="宋体"/>
          <w:bCs/>
          <w:color w:val="auto"/>
          <w:sz w:val="21"/>
          <w:szCs w:val="21"/>
          <w:highlight w:val="none"/>
        </w:rPr>
        <w:t>61850、103、104、modbus等常规标准通用通讯协议，智能通讯箱的数据采集器、箱变测控装置可采用61850、103、104、modbus等常规标准通用通讯协议，站控管理系统可通过光纤环网直接采集逆变器、箱变等数据，无需另外配置站控层侧的规约转换装置；站控管理系统与升压站监控系统、AGC、一次调频系统、光功率系统等系统通信采用常规标准通用通讯协议；若投标方的站控管理系统采用非标准规约，需自行考虑配置规约转换装置，费用含在投标总价中。</w:t>
      </w:r>
    </w:p>
    <w:p>
      <w:pPr>
        <w:tabs>
          <w:tab w:val="left" w:pos="945"/>
        </w:tabs>
        <w:textAlignment w:val="center"/>
        <w:rPr>
          <w:rFonts w:ascii="宋体" w:hAnsi="宋体"/>
          <w:bCs/>
          <w:color w:val="auto"/>
          <w:sz w:val="21"/>
          <w:szCs w:val="21"/>
          <w:highlight w:val="none"/>
        </w:rPr>
      </w:pPr>
      <w:r>
        <w:rPr>
          <w:rFonts w:hint="eastAsia" w:ascii="宋体" w:hAnsi="宋体"/>
          <w:bCs/>
          <w:color w:val="auto"/>
          <w:sz w:val="21"/>
          <w:szCs w:val="21"/>
          <w:highlight w:val="none"/>
        </w:rPr>
        <w:t>（</w:t>
      </w:r>
      <w:r>
        <w:rPr>
          <w:rFonts w:ascii="宋体" w:hAnsi="宋体"/>
          <w:bCs/>
          <w:color w:val="auto"/>
          <w:sz w:val="21"/>
          <w:szCs w:val="21"/>
          <w:highlight w:val="none"/>
        </w:rPr>
        <w:t>一）阵列区</w:t>
      </w:r>
      <w:r>
        <w:rPr>
          <w:rFonts w:hint="eastAsia" w:ascii="宋体" w:hAnsi="宋体"/>
          <w:bCs/>
          <w:color w:val="auto"/>
          <w:sz w:val="21"/>
          <w:szCs w:val="21"/>
          <w:highlight w:val="none"/>
        </w:rPr>
        <w:t>站控层</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光伏阵列区站控</w:t>
      </w:r>
      <w:r>
        <w:rPr>
          <w:rFonts w:ascii="宋体" w:hAnsi="宋体"/>
          <w:color w:val="auto"/>
          <w:sz w:val="21"/>
          <w:szCs w:val="21"/>
          <w:highlight w:val="none"/>
        </w:rPr>
        <w:t>层采用星型以太网结构，</w:t>
      </w:r>
      <w:r>
        <w:rPr>
          <w:rFonts w:hint="eastAsia" w:ascii="宋体" w:hAnsi="宋体"/>
          <w:color w:val="auto"/>
          <w:sz w:val="21"/>
          <w:szCs w:val="21"/>
          <w:highlight w:val="none"/>
        </w:rPr>
        <w:t>包括面向全站级管理的服务器、操作员站及其他接口设备等。站控层设备采用网络对时，由升压站对时装置提供网络对时接口。</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w:t>
      </w:r>
      <w:r>
        <w:rPr>
          <w:rFonts w:hint="eastAsia" w:ascii="宋体" w:hAnsi="宋体"/>
          <w:color w:val="auto"/>
          <w:sz w:val="21"/>
          <w:szCs w:val="21"/>
          <w:highlight w:val="none"/>
        </w:rPr>
        <w:t>服务器</w:t>
      </w:r>
      <w:r>
        <w:rPr>
          <w:rFonts w:ascii="宋体" w:hAnsi="宋体"/>
          <w:color w:val="auto"/>
          <w:sz w:val="21"/>
          <w:szCs w:val="21"/>
          <w:highlight w:val="none"/>
        </w:rPr>
        <w:t>：</w:t>
      </w:r>
      <w:r>
        <w:rPr>
          <w:rFonts w:hint="eastAsia" w:ascii="宋体" w:hAnsi="宋体"/>
          <w:color w:val="auto"/>
          <w:sz w:val="21"/>
          <w:szCs w:val="21"/>
          <w:highlight w:val="none"/>
        </w:rPr>
        <w:t>用作光伏</w:t>
      </w:r>
      <w:r>
        <w:rPr>
          <w:rFonts w:ascii="宋体" w:hAnsi="宋体"/>
          <w:color w:val="auto"/>
          <w:sz w:val="21"/>
          <w:szCs w:val="21"/>
          <w:highlight w:val="none"/>
        </w:rPr>
        <w:t>阵列区</w:t>
      </w:r>
      <w:r>
        <w:rPr>
          <w:rFonts w:hint="eastAsia" w:ascii="宋体" w:hAnsi="宋体"/>
          <w:color w:val="auto"/>
          <w:sz w:val="21"/>
          <w:szCs w:val="21"/>
          <w:highlight w:val="none"/>
        </w:rPr>
        <w:t>数据收集、处理、存储及网络管理的中心，用于</w:t>
      </w:r>
      <w:r>
        <w:rPr>
          <w:rFonts w:ascii="宋体" w:hAnsi="宋体"/>
          <w:color w:val="auto"/>
          <w:sz w:val="21"/>
          <w:szCs w:val="21"/>
          <w:highlight w:val="none"/>
        </w:rPr>
        <w:t>阵列区</w:t>
      </w:r>
      <w:r>
        <w:rPr>
          <w:rFonts w:hint="eastAsia" w:ascii="宋体" w:hAnsi="宋体"/>
          <w:color w:val="auto"/>
          <w:sz w:val="21"/>
          <w:szCs w:val="21"/>
          <w:highlight w:val="none"/>
        </w:rPr>
        <w:t>站控管理</w:t>
      </w:r>
      <w:r>
        <w:rPr>
          <w:rFonts w:ascii="宋体" w:hAnsi="宋体"/>
          <w:color w:val="auto"/>
          <w:sz w:val="21"/>
          <w:szCs w:val="21"/>
          <w:highlight w:val="none"/>
        </w:rPr>
        <w:t>系统的维护、管理，可完成数据库的定义、修改，系统参数的定义、修改</w:t>
      </w:r>
      <w:r>
        <w:rPr>
          <w:rFonts w:hint="eastAsia" w:ascii="宋体" w:hAnsi="宋体"/>
          <w:color w:val="auto"/>
          <w:sz w:val="21"/>
          <w:szCs w:val="21"/>
          <w:highlight w:val="none"/>
        </w:rPr>
        <w:t>，</w:t>
      </w:r>
      <w:r>
        <w:rPr>
          <w:rFonts w:ascii="宋体" w:hAnsi="宋体"/>
          <w:color w:val="auto"/>
          <w:sz w:val="21"/>
          <w:szCs w:val="21"/>
          <w:highlight w:val="none"/>
        </w:rPr>
        <w:t>报表的制作、修改</w:t>
      </w:r>
      <w:r>
        <w:rPr>
          <w:rFonts w:hint="eastAsia" w:ascii="宋体" w:hAnsi="宋体"/>
          <w:color w:val="auto"/>
          <w:sz w:val="21"/>
          <w:szCs w:val="21"/>
          <w:highlight w:val="none"/>
        </w:rPr>
        <w:t>及</w:t>
      </w:r>
      <w:r>
        <w:rPr>
          <w:rFonts w:ascii="宋体" w:hAnsi="宋体"/>
          <w:color w:val="auto"/>
          <w:sz w:val="21"/>
          <w:szCs w:val="21"/>
          <w:highlight w:val="none"/>
        </w:rPr>
        <w:t>网络管理维护、系统诊断等工作</w:t>
      </w:r>
      <w:r>
        <w:rPr>
          <w:rFonts w:hint="eastAsia" w:ascii="宋体" w:hAnsi="宋体"/>
          <w:color w:val="auto"/>
          <w:sz w:val="21"/>
          <w:szCs w:val="21"/>
          <w:highlight w:val="none"/>
        </w:rPr>
        <w:t>。可进行</w:t>
      </w:r>
      <w:r>
        <w:rPr>
          <w:rFonts w:ascii="宋体" w:hAnsi="宋体"/>
          <w:color w:val="auto"/>
          <w:sz w:val="21"/>
          <w:szCs w:val="21"/>
          <w:highlight w:val="none"/>
        </w:rPr>
        <w:t>一次设备的定义</w:t>
      </w:r>
      <w:r>
        <w:rPr>
          <w:rFonts w:hint="eastAsia" w:ascii="宋体" w:hAnsi="宋体"/>
          <w:color w:val="auto"/>
          <w:sz w:val="21"/>
          <w:szCs w:val="21"/>
          <w:highlight w:val="none"/>
        </w:rPr>
        <w:t>，</w:t>
      </w:r>
      <w:r>
        <w:rPr>
          <w:rFonts w:ascii="宋体" w:hAnsi="宋体"/>
          <w:color w:val="auto"/>
          <w:sz w:val="21"/>
          <w:szCs w:val="21"/>
          <w:highlight w:val="none"/>
        </w:rPr>
        <w:t>保护</w:t>
      </w:r>
      <w:r>
        <w:rPr>
          <w:rFonts w:hint="eastAsia" w:ascii="宋体" w:hAnsi="宋体"/>
          <w:color w:val="auto"/>
          <w:sz w:val="21"/>
          <w:szCs w:val="21"/>
          <w:highlight w:val="none"/>
        </w:rPr>
        <w:t>RTU的</w:t>
      </w:r>
      <w:r>
        <w:rPr>
          <w:rFonts w:ascii="宋体" w:hAnsi="宋体"/>
          <w:color w:val="auto"/>
          <w:sz w:val="21"/>
          <w:szCs w:val="21"/>
          <w:highlight w:val="none"/>
        </w:rPr>
        <w:t>定义</w:t>
      </w:r>
      <w:r>
        <w:rPr>
          <w:rFonts w:hint="eastAsia" w:ascii="宋体" w:hAnsi="宋体"/>
          <w:color w:val="auto"/>
          <w:sz w:val="21"/>
          <w:szCs w:val="21"/>
          <w:highlight w:val="none"/>
        </w:rPr>
        <w:t>，</w:t>
      </w:r>
      <w:r>
        <w:rPr>
          <w:rFonts w:ascii="宋体" w:hAnsi="宋体"/>
          <w:color w:val="auto"/>
          <w:sz w:val="21"/>
          <w:szCs w:val="21"/>
          <w:highlight w:val="none"/>
        </w:rPr>
        <w:t>监控</w:t>
      </w:r>
      <w:r>
        <w:rPr>
          <w:rFonts w:hint="eastAsia" w:ascii="宋体" w:hAnsi="宋体"/>
          <w:color w:val="auto"/>
          <w:sz w:val="21"/>
          <w:szCs w:val="21"/>
          <w:highlight w:val="none"/>
        </w:rPr>
        <w:t>RTU的</w:t>
      </w:r>
      <w:r>
        <w:rPr>
          <w:rFonts w:ascii="宋体" w:hAnsi="宋体"/>
          <w:color w:val="auto"/>
          <w:sz w:val="21"/>
          <w:szCs w:val="21"/>
          <w:highlight w:val="none"/>
        </w:rPr>
        <w:t>定义，越限定义，越限跳闸总闭锁设置</w:t>
      </w:r>
      <w:r>
        <w:rPr>
          <w:rFonts w:hint="eastAsia" w:ascii="宋体" w:hAnsi="宋体"/>
          <w:color w:val="auto"/>
          <w:sz w:val="21"/>
          <w:szCs w:val="21"/>
          <w:highlight w:val="none"/>
        </w:rPr>
        <w:t>，</w:t>
      </w:r>
      <w:r>
        <w:rPr>
          <w:rFonts w:ascii="宋体" w:hAnsi="宋体"/>
          <w:color w:val="auto"/>
          <w:sz w:val="21"/>
          <w:szCs w:val="21"/>
          <w:highlight w:val="none"/>
        </w:rPr>
        <w:t>遥控总闭锁设置，可以定义或修改系统监控画面，可以定义或修改仪表标准系数等。</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设备应为冗余配置的高性能服务器，</w:t>
      </w:r>
      <w:r>
        <w:rPr>
          <w:rFonts w:ascii="宋体" w:hAnsi="宋体"/>
          <w:color w:val="auto"/>
          <w:sz w:val="21"/>
          <w:szCs w:val="21"/>
          <w:highlight w:val="none"/>
        </w:rPr>
        <w:t>应</w:t>
      </w:r>
      <w:r>
        <w:rPr>
          <w:rFonts w:hint="eastAsia" w:ascii="宋体" w:hAnsi="宋体"/>
          <w:color w:val="auto"/>
          <w:sz w:val="21"/>
          <w:szCs w:val="21"/>
          <w:highlight w:val="none"/>
        </w:rPr>
        <w:t>符合FCC，EMC，CE，UL，3C等工业标准，每台至少满足以下配置要求：</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CPU： 采用多内核,至少八核</w:t>
      </w:r>
      <w:r>
        <w:rPr>
          <w:rFonts w:ascii="宋体" w:hAnsi="宋体"/>
          <w:color w:val="auto"/>
          <w:sz w:val="21"/>
          <w:szCs w:val="21"/>
          <w:highlight w:val="none"/>
        </w:rPr>
        <w:t>，</w:t>
      </w:r>
      <w:r>
        <w:rPr>
          <w:rFonts w:hint="eastAsia" w:ascii="宋体" w:hAnsi="宋体"/>
          <w:color w:val="auto"/>
          <w:sz w:val="21"/>
          <w:szCs w:val="21"/>
          <w:highlight w:val="none"/>
        </w:rPr>
        <w:t>主频</w:t>
      </w:r>
      <w:r>
        <w:rPr>
          <w:rFonts w:ascii="宋体" w:hAnsi="宋体"/>
          <w:color w:val="auto"/>
          <w:sz w:val="21"/>
          <w:szCs w:val="21"/>
          <w:highlight w:val="none"/>
        </w:rPr>
        <w:t>≥3.5</w:t>
      </w:r>
      <w:r>
        <w:rPr>
          <w:rFonts w:hint="eastAsia" w:ascii="宋体" w:hAnsi="宋体"/>
          <w:color w:val="auto"/>
          <w:sz w:val="21"/>
          <w:szCs w:val="21"/>
          <w:highlight w:val="none"/>
        </w:rPr>
        <w:t>GHz，二级缓存</w:t>
      </w:r>
      <w:r>
        <w:rPr>
          <w:rFonts w:ascii="宋体" w:hAnsi="宋体"/>
          <w:color w:val="auto"/>
          <w:sz w:val="21"/>
          <w:szCs w:val="21"/>
          <w:highlight w:val="none"/>
        </w:rPr>
        <w:t>≥</w:t>
      </w:r>
      <w:r>
        <w:rPr>
          <w:rFonts w:hint="eastAsia" w:ascii="宋体" w:hAnsi="宋体"/>
          <w:color w:val="auto"/>
          <w:sz w:val="21"/>
          <w:szCs w:val="21"/>
          <w:highlight w:val="none"/>
        </w:rPr>
        <w:t>4×2MB；</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前端总线：采用高性能的</w:t>
      </w:r>
      <w:r>
        <w:rPr>
          <w:rFonts w:ascii="宋体" w:hAnsi="宋体"/>
          <w:color w:val="auto"/>
          <w:sz w:val="21"/>
          <w:szCs w:val="21"/>
          <w:highlight w:val="none"/>
        </w:rPr>
        <w:t>Intel Xeon 5500 series</w:t>
      </w:r>
      <w:r>
        <w:rPr>
          <w:rFonts w:hint="eastAsia" w:ascii="宋体" w:hAnsi="宋体"/>
          <w:color w:val="auto"/>
          <w:sz w:val="21"/>
          <w:szCs w:val="21"/>
          <w:highlight w:val="none"/>
        </w:rPr>
        <w:t>芯片组，支持1333/1066/800MHz；</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hint="eastAsia" w:ascii="宋体" w:hAnsi="宋体"/>
          <w:color w:val="auto"/>
          <w:sz w:val="21"/>
          <w:szCs w:val="21"/>
          <w:highlight w:val="none"/>
        </w:rPr>
        <w:t xml:space="preserve"> 内存: </w:t>
      </w:r>
      <w:r>
        <w:rPr>
          <w:rFonts w:ascii="宋体" w:hAnsi="宋体"/>
          <w:color w:val="auto"/>
          <w:sz w:val="21"/>
          <w:szCs w:val="21"/>
          <w:highlight w:val="none"/>
        </w:rPr>
        <w:t>≥</w:t>
      </w:r>
      <w:r>
        <w:rPr>
          <w:rFonts w:hint="eastAsia" w:ascii="宋体" w:hAnsi="宋体"/>
          <w:color w:val="auto"/>
          <w:sz w:val="21"/>
          <w:szCs w:val="21"/>
          <w:highlight w:val="none"/>
        </w:rPr>
        <w:t>128GB,最高可扩展性为256GB；</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硬盘: 配置容量不低于6TB且可扩展多块硬盘；硬盘总容量需满足历史数据存储要求；</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光驱: 禁配；</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显卡: 独立的双输出显卡1块，显存容量</w:t>
      </w:r>
      <w:r>
        <w:rPr>
          <w:rFonts w:ascii="宋体" w:hAnsi="宋体"/>
          <w:color w:val="auto"/>
          <w:sz w:val="21"/>
          <w:szCs w:val="21"/>
          <w:highlight w:val="none"/>
        </w:rPr>
        <w:t>≥2</w:t>
      </w:r>
      <w:r>
        <w:rPr>
          <w:rFonts w:hint="eastAsia" w:ascii="宋体" w:hAnsi="宋体"/>
          <w:color w:val="auto"/>
          <w:sz w:val="21"/>
          <w:szCs w:val="21"/>
          <w:highlight w:val="none"/>
        </w:rPr>
        <w:t>GDDR5，位宽</w:t>
      </w:r>
      <w:r>
        <w:rPr>
          <w:rFonts w:ascii="宋体" w:hAnsi="宋体"/>
          <w:color w:val="auto"/>
          <w:sz w:val="21"/>
          <w:szCs w:val="21"/>
          <w:highlight w:val="none"/>
        </w:rPr>
        <w:t>≥</w:t>
      </w:r>
      <w:r>
        <w:rPr>
          <w:rFonts w:hint="eastAsia" w:ascii="宋体" w:hAnsi="宋体"/>
          <w:color w:val="auto"/>
          <w:sz w:val="21"/>
          <w:szCs w:val="21"/>
          <w:highlight w:val="none"/>
        </w:rPr>
        <w:t>256 BIT,分辨率</w:t>
      </w:r>
      <w:r>
        <w:rPr>
          <w:rFonts w:ascii="宋体" w:hAnsi="宋体"/>
          <w:color w:val="auto"/>
          <w:sz w:val="21"/>
          <w:szCs w:val="21"/>
          <w:highlight w:val="none"/>
        </w:rPr>
        <w:t>≥</w:t>
      </w:r>
      <w:r>
        <w:rPr>
          <w:rFonts w:hint="eastAsia" w:ascii="宋体" w:hAnsi="宋体"/>
          <w:color w:val="auto"/>
          <w:sz w:val="21"/>
          <w:szCs w:val="21"/>
          <w:highlight w:val="none"/>
        </w:rPr>
        <w:t>2560*1600，支持DVI/VGA/HDMI接口；</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网卡：</w:t>
      </w:r>
      <w:r>
        <w:rPr>
          <w:rFonts w:ascii="宋体" w:hAnsi="宋体"/>
          <w:color w:val="auto"/>
          <w:sz w:val="21"/>
          <w:szCs w:val="21"/>
          <w:highlight w:val="none"/>
        </w:rPr>
        <w:t>≥4</w:t>
      </w:r>
      <w:r>
        <w:rPr>
          <w:rFonts w:hint="eastAsia" w:ascii="宋体" w:hAnsi="宋体"/>
          <w:color w:val="auto"/>
          <w:sz w:val="21"/>
          <w:szCs w:val="21"/>
          <w:highlight w:val="none"/>
        </w:rPr>
        <w:t>块</w:t>
      </w:r>
      <w:r>
        <w:rPr>
          <w:rFonts w:ascii="宋体" w:hAnsi="宋体"/>
          <w:color w:val="auto"/>
          <w:sz w:val="21"/>
          <w:szCs w:val="21"/>
          <w:highlight w:val="none"/>
        </w:rPr>
        <w:t>，速率≥100/1000M</w:t>
      </w:r>
      <w:r>
        <w:rPr>
          <w:rFonts w:hint="eastAsia" w:ascii="宋体" w:hAnsi="宋体"/>
          <w:color w:val="auto"/>
          <w:sz w:val="21"/>
          <w:szCs w:val="21"/>
          <w:highlight w:val="none"/>
        </w:rPr>
        <w:t>；</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hint="eastAsia" w:ascii="宋体" w:hAnsi="宋体"/>
          <w:color w:val="auto"/>
          <w:sz w:val="21"/>
          <w:szCs w:val="21"/>
          <w:highlight w:val="none"/>
        </w:rPr>
        <w:t xml:space="preserve"> 声卡：可采用板载声卡、有源音箱1套；</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接口：千兆以太网接口2个、</w:t>
      </w:r>
      <w:r>
        <w:rPr>
          <w:rFonts w:ascii="宋体" w:hAnsi="宋体"/>
          <w:color w:val="auto"/>
          <w:sz w:val="21"/>
          <w:szCs w:val="21"/>
          <w:highlight w:val="none"/>
        </w:rPr>
        <w:t xml:space="preserve">USB2.0 </w:t>
      </w:r>
      <w:r>
        <w:rPr>
          <w:rFonts w:hint="eastAsia" w:ascii="宋体" w:hAnsi="宋体"/>
          <w:color w:val="auto"/>
          <w:sz w:val="21"/>
          <w:szCs w:val="21"/>
          <w:highlight w:val="none"/>
        </w:rPr>
        <w:t>接口4个，串行口2个，并行口1个；</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操作系统：汉化UNIX或LINUX，满足当地电网及山东电网要求；</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显示器：暂按24寸彩色液晶显示器，最终与升压站内显示屏尺寸保持一致，分辨率</w:t>
      </w:r>
      <w:r>
        <w:rPr>
          <w:rFonts w:ascii="宋体" w:hAnsi="宋体"/>
          <w:color w:val="auto"/>
          <w:sz w:val="21"/>
          <w:szCs w:val="21"/>
          <w:highlight w:val="none"/>
        </w:rPr>
        <w:t>≥</w:t>
      </w:r>
      <w:r>
        <w:rPr>
          <w:rFonts w:hint="eastAsia" w:ascii="宋体" w:hAnsi="宋体"/>
          <w:color w:val="auto"/>
          <w:sz w:val="21"/>
          <w:szCs w:val="21"/>
          <w:highlight w:val="none"/>
        </w:rPr>
        <w:t>1920*1280；</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标准键盘、鼠标：各1个；</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电源：功耗</w:t>
      </w:r>
      <w:r>
        <w:rPr>
          <w:rFonts w:ascii="宋体" w:hAnsi="宋体"/>
          <w:color w:val="auto"/>
          <w:sz w:val="21"/>
          <w:szCs w:val="21"/>
          <w:highlight w:val="none"/>
        </w:rPr>
        <w:t>≤</w:t>
      </w:r>
      <w:r>
        <w:rPr>
          <w:rFonts w:hint="eastAsia" w:ascii="宋体" w:hAnsi="宋体"/>
          <w:color w:val="auto"/>
          <w:sz w:val="21"/>
          <w:szCs w:val="21"/>
          <w:highlight w:val="none"/>
        </w:rPr>
        <w:t>500W，硬件支持掉电保护、承受电压扰动和电源恢复后的自动重新启动；</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过滤系统：前面板应带过滤器，且可拆卸，可清洗；</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冷却系统：带球轴承风扇，铜质散热器及可拆卸的防尘罩；</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开关指示灯：系统重启开关、电源开/关、系统电源显示、硬盘工作显示；</w:t>
      </w:r>
      <w:r>
        <w:rPr>
          <w:rFonts w:ascii="宋体" w:hAnsi="宋体"/>
          <w:color w:val="auto"/>
          <w:sz w:val="21"/>
          <w:szCs w:val="21"/>
          <w:highlight w:val="none"/>
        </w:rPr>
        <w:t xml:space="preserve"> </w:t>
      </w:r>
      <w:r>
        <w:rPr>
          <w:rFonts w:hint="eastAsia" w:ascii="宋体" w:hAnsi="宋体"/>
          <w:color w:val="auto"/>
          <w:sz w:val="21"/>
          <w:szCs w:val="21"/>
          <w:highlight w:val="none"/>
        </w:rPr>
        <w:t>其它必需配置的硬件和软件</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（2）操作员站，提供站级监控的主要人机界面，实现对全站光伏区设备的实时监视和操作控制；配置2台操作员站，应符合FCC，EMC，CE，UL，3C等工业标准，每台至少满足以下配置要求：</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CPU：至少四核，主频≥2.5GHz，二级缓存≥4×2MB；</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内存: ≥16GB,可扩展；</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硬盘: ≥2*500G（安装系统）、配1T做RAID5（安装应用软件、数据）；</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光驱: 禁配；</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显卡: 独立的双输出显卡1块，显存容量≥2GDDR5，位宽≥256 BIT,分辨率≥2560*1600，支持DVI/VGA/HDMI接口；</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网卡：≥4块，速率≥100/1000M；</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声卡：可采用板载声卡、有源音箱1套；</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接口：千兆以太网接口2个、USB2.0 接口4个，串行口2个，并行口1个；</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操作系统：汉化UNIX或LINUX，满足当地电网及山东电网要求；</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显示器：24寸彩色液晶显示器，分辨率≥1920*1280；</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标准键盘、鼠标：各1个；</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电源：功耗≤500W，硬件支持掉电保护、承受电压扰动和电源恢复后自动重新启动；</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过滤系统：前面板应带过滤器，且可拆卸，可清洗；</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冷却系统：带球轴承风扇，铜质散热器及可拆卸的防尘罩；</w:t>
      </w:r>
    </w:p>
    <w:p>
      <w:pPr>
        <w:widowControl/>
        <w:numPr>
          <w:ilvl w:val="255"/>
          <w:numId w:val="0"/>
        </w:numPr>
        <w:tabs>
          <w:tab w:val="left" w:pos="2700"/>
        </w:tabs>
        <w:spacing w:line="240" w:lineRule="auto"/>
        <w:ind w:firstLine="420" w:firstLineChars="200"/>
        <w:jc w:val="left"/>
        <w:textAlignment w:val="center"/>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开关指示灯：系统重启开关、电源开/关、系统电源显示、硬盘工作显示；其它必需配置的硬件和软件。</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4）规约转换装置（若需）：设备组屏（柜），为智能通信及规约转换装置，用于多种智能设备与站控管理系统通信。通过网络或串口，经规约转换后送往当地监控或保护信息管理装置等。设备配置需满足现场实际需求。</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智能设备接口装置处于中间层，对上（与当地监控系统通信）、对下（与箱变测控、数据采集器等智能设备通信）均应支持多种通信接口和多种通信协议。提供的对上通信接口类型至少应有：以太网接口（双绞线或光纤）、RS232 串口。至少可以提供4个光纤或双绞线以太网接口、2 个RS232 串口，至少同时挂接6 种不同协议（包括IEC60870-5-101/102/103/104，IEC61850、CDT通信规约等）。提供的对下通信接口类型至少应有RS232/RS485/RS422（双绞线或光纤）、LON网、以太网（双绞线或光纤）通信，至少提供4个以太网（双绞线或光纤）、24 个串行双绞线（或者光纤）接口、2 个LON 网接口。根据协议的复杂程度，可以同时挂接11种以上的协议（包括IEC60870-5-101/102/103/104，IEC61850、CDT、modbus通信规约等）。</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（二）网络</w:t>
      </w:r>
      <w:r>
        <w:rPr>
          <w:rFonts w:ascii="宋体" w:hAnsi="宋体"/>
          <w:color w:val="auto"/>
          <w:sz w:val="21"/>
          <w:szCs w:val="21"/>
          <w:highlight w:val="none"/>
        </w:rPr>
        <w:t>设备</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）光伏场区站控层交换机</w:t>
      </w:r>
      <w:r>
        <w:rPr>
          <w:rFonts w:ascii="宋体" w:hAnsi="宋体"/>
          <w:color w:val="auto"/>
          <w:sz w:val="21"/>
          <w:szCs w:val="21"/>
          <w:highlight w:val="none"/>
        </w:rPr>
        <w:t>：</w:t>
      </w:r>
    </w:p>
    <w:p>
      <w:pPr>
        <w:tabs>
          <w:tab w:val="left" w:pos="945"/>
        </w:tabs>
        <w:ind w:firstLine="420" w:firstLineChars="200"/>
        <w:rPr>
          <w:rFonts w:ascii="宋体" w:hAnsi="宋体"/>
          <w:color w:val="auto"/>
          <w:sz w:val="21"/>
          <w:szCs w:val="21"/>
          <w:highlight w:val="none"/>
        </w:rPr>
      </w:pPr>
      <w:r>
        <w:rPr>
          <w:rFonts w:ascii="宋体" w:hAnsi="宋体"/>
          <w:color w:val="auto"/>
          <w:sz w:val="21"/>
          <w:szCs w:val="21"/>
          <w:highlight w:val="none"/>
        </w:rPr>
        <w:t>a）</w:t>
      </w:r>
      <w:r>
        <w:rPr>
          <w:rFonts w:hint="eastAsia" w:ascii="宋体" w:hAnsi="宋体"/>
          <w:color w:val="auto"/>
          <w:sz w:val="21"/>
          <w:szCs w:val="21"/>
          <w:highlight w:val="none"/>
        </w:rPr>
        <w:t>配置2套工业以太网交换机（冗余配置），用于光伏阵列区</w:t>
      </w:r>
      <w:r>
        <w:rPr>
          <w:rFonts w:ascii="宋体" w:hAnsi="宋体"/>
          <w:color w:val="auto"/>
          <w:sz w:val="21"/>
          <w:szCs w:val="21"/>
          <w:highlight w:val="none"/>
        </w:rPr>
        <w:t>监控系统信息的汇总通信</w:t>
      </w:r>
      <w:r>
        <w:rPr>
          <w:rFonts w:hint="eastAsia" w:ascii="宋体" w:hAnsi="宋体"/>
          <w:color w:val="auto"/>
          <w:sz w:val="21"/>
          <w:szCs w:val="21"/>
          <w:highlight w:val="none"/>
        </w:rPr>
        <w:t>。网络传输速率≥100Mbps，可构成一分布式高速工业级以太网，实现站级单元的信息共享以及站内设备的在线监测、数据处理以及站级联锁控制，设备组屏（柜）布置。每台工业以太网交换机</w:t>
      </w:r>
      <w:r>
        <w:rPr>
          <w:rFonts w:ascii="宋体" w:hAnsi="宋体"/>
          <w:color w:val="auto"/>
          <w:sz w:val="21"/>
          <w:szCs w:val="21"/>
          <w:highlight w:val="none"/>
        </w:rPr>
        <w:t>应为管理型交换机，</w:t>
      </w:r>
      <w:r>
        <w:rPr>
          <w:rFonts w:hint="eastAsia" w:ascii="宋体" w:hAnsi="宋体"/>
          <w:color w:val="auto"/>
          <w:sz w:val="21"/>
          <w:szCs w:val="21"/>
          <w:highlight w:val="none"/>
        </w:rPr>
        <w:t>并至少满足以下技术要求：</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端口：16个</w:t>
      </w:r>
      <w:r>
        <w:rPr>
          <w:rFonts w:ascii="宋体" w:hAnsi="宋体"/>
          <w:color w:val="auto"/>
          <w:sz w:val="21"/>
          <w:szCs w:val="21"/>
          <w:highlight w:val="none"/>
        </w:rPr>
        <w:t xml:space="preserve">100M RJ-45 </w:t>
      </w:r>
      <w:r>
        <w:rPr>
          <w:rFonts w:hint="eastAsia" w:ascii="宋体" w:hAnsi="宋体"/>
          <w:color w:val="auto"/>
          <w:sz w:val="21"/>
          <w:szCs w:val="21"/>
          <w:highlight w:val="none"/>
        </w:rPr>
        <w:t>交换端口</w:t>
      </w:r>
      <w:r>
        <w:rPr>
          <w:rFonts w:ascii="宋体" w:hAnsi="宋体"/>
          <w:color w:val="auto"/>
          <w:sz w:val="21"/>
          <w:szCs w:val="21"/>
          <w:highlight w:val="none"/>
        </w:rPr>
        <w:t>+4</w:t>
      </w:r>
      <w:r>
        <w:rPr>
          <w:rFonts w:hint="eastAsia" w:ascii="宋体" w:hAnsi="宋体"/>
          <w:color w:val="auto"/>
          <w:sz w:val="21"/>
          <w:szCs w:val="21"/>
          <w:highlight w:val="none"/>
        </w:rPr>
        <w:t>个</w:t>
      </w:r>
      <w:r>
        <w:rPr>
          <w:rFonts w:ascii="宋体" w:hAnsi="宋体"/>
          <w:color w:val="auto"/>
          <w:sz w:val="21"/>
          <w:szCs w:val="21"/>
          <w:highlight w:val="none"/>
        </w:rPr>
        <w:t xml:space="preserve">1000M RJ-45 </w:t>
      </w:r>
      <w:r>
        <w:rPr>
          <w:rFonts w:hint="eastAsia" w:ascii="宋体" w:hAnsi="宋体"/>
          <w:color w:val="auto"/>
          <w:sz w:val="21"/>
          <w:szCs w:val="21"/>
          <w:highlight w:val="none"/>
        </w:rPr>
        <w:t>交换端口+4个1000M/100M光口；</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电源：</w:t>
      </w:r>
      <w:r>
        <w:rPr>
          <w:rFonts w:ascii="宋体" w:hAnsi="宋体"/>
          <w:color w:val="auto"/>
          <w:sz w:val="21"/>
          <w:szCs w:val="21"/>
          <w:highlight w:val="none"/>
        </w:rPr>
        <w:t>DC</w:t>
      </w:r>
      <w:r>
        <w:rPr>
          <w:rFonts w:hint="eastAsia" w:ascii="宋体" w:hAnsi="宋体"/>
          <w:color w:val="auto"/>
          <w:sz w:val="21"/>
          <w:szCs w:val="21"/>
          <w:highlight w:val="none"/>
        </w:rPr>
        <w:t>220V</w:t>
      </w:r>
      <w:r>
        <w:rPr>
          <w:rFonts w:ascii="宋体" w:hAnsi="宋体"/>
          <w:color w:val="auto"/>
          <w:sz w:val="21"/>
          <w:szCs w:val="21"/>
          <w:highlight w:val="none"/>
        </w:rPr>
        <w:t xml:space="preserve"> </w:t>
      </w:r>
      <w:r>
        <w:rPr>
          <w:rFonts w:hint="eastAsia" w:ascii="宋体" w:hAnsi="宋体"/>
          <w:color w:val="auto"/>
          <w:sz w:val="21"/>
          <w:szCs w:val="21"/>
          <w:highlight w:val="none"/>
        </w:rPr>
        <w:t>或A</w:t>
      </w:r>
      <w:r>
        <w:rPr>
          <w:rFonts w:ascii="宋体" w:hAnsi="宋体"/>
          <w:color w:val="auto"/>
          <w:sz w:val="21"/>
          <w:szCs w:val="21"/>
          <w:highlight w:val="none"/>
        </w:rPr>
        <w:t>C</w:t>
      </w:r>
      <w:r>
        <w:rPr>
          <w:rFonts w:hint="eastAsia" w:ascii="宋体" w:hAnsi="宋体"/>
          <w:color w:val="auto"/>
          <w:sz w:val="21"/>
          <w:szCs w:val="21"/>
          <w:highlight w:val="none"/>
        </w:rPr>
        <w:t>22</w:t>
      </w:r>
      <w:r>
        <w:rPr>
          <w:rFonts w:ascii="宋体" w:hAnsi="宋体"/>
          <w:color w:val="auto"/>
          <w:sz w:val="21"/>
          <w:szCs w:val="21"/>
          <w:highlight w:val="none"/>
        </w:rPr>
        <w:t>0</w:t>
      </w:r>
      <w:r>
        <w:rPr>
          <w:rFonts w:hint="eastAsia" w:ascii="宋体" w:hAnsi="宋体"/>
          <w:color w:val="auto"/>
          <w:sz w:val="21"/>
          <w:szCs w:val="21"/>
          <w:highlight w:val="none"/>
        </w:rPr>
        <w:t>V</w:t>
      </w:r>
      <w:r>
        <w:rPr>
          <w:rFonts w:ascii="宋体" w:hAnsi="宋体"/>
          <w:color w:val="auto"/>
          <w:sz w:val="21"/>
          <w:szCs w:val="21"/>
          <w:highlight w:val="none"/>
        </w:rPr>
        <w:t xml:space="preserve"> </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工作温度：-2</w:t>
      </w:r>
      <w:r>
        <w:rPr>
          <w:rFonts w:ascii="宋体" w:hAnsi="宋体"/>
          <w:color w:val="auto"/>
          <w:sz w:val="21"/>
          <w:szCs w:val="21"/>
          <w:highlight w:val="none"/>
        </w:rPr>
        <w:t>0</w:t>
      </w:r>
      <w:r>
        <w:rPr>
          <w:rFonts w:hint="eastAsia" w:ascii="宋体" w:hAnsi="宋体"/>
          <w:color w:val="auto"/>
          <w:sz w:val="21"/>
          <w:szCs w:val="21"/>
          <w:highlight w:val="none"/>
        </w:rPr>
        <w:t>℃</w:t>
      </w:r>
      <w:r>
        <w:rPr>
          <w:rFonts w:ascii="宋体" w:hAnsi="宋体"/>
          <w:color w:val="auto"/>
          <w:sz w:val="21"/>
          <w:szCs w:val="21"/>
          <w:highlight w:val="none"/>
        </w:rPr>
        <w:t>~60</w:t>
      </w:r>
      <w:r>
        <w:rPr>
          <w:rFonts w:hint="eastAsia" w:ascii="宋体" w:hAnsi="宋体"/>
          <w:color w:val="auto"/>
          <w:sz w:val="21"/>
          <w:szCs w:val="21"/>
          <w:highlight w:val="none"/>
        </w:rPr>
        <w:t>℃，</w:t>
      </w:r>
      <w:r>
        <w:rPr>
          <w:rFonts w:ascii="宋体" w:hAnsi="宋体"/>
          <w:color w:val="auto"/>
          <w:sz w:val="21"/>
          <w:szCs w:val="21"/>
          <w:highlight w:val="none"/>
        </w:rPr>
        <w:t>自冷散热方式（</w:t>
      </w:r>
      <w:r>
        <w:rPr>
          <w:rFonts w:hint="eastAsia" w:ascii="宋体" w:hAnsi="宋体"/>
          <w:color w:val="auto"/>
          <w:sz w:val="21"/>
          <w:szCs w:val="21"/>
          <w:highlight w:val="none"/>
        </w:rPr>
        <w:t>无</w:t>
      </w:r>
      <w:r>
        <w:rPr>
          <w:rFonts w:ascii="宋体" w:hAnsi="宋体"/>
          <w:color w:val="auto"/>
          <w:sz w:val="21"/>
          <w:szCs w:val="21"/>
          <w:highlight w:val="none"/>
        </w:rPr>
        <w:t>风扇）</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存放环境温度：</w:t>
      </w:r>
      <w:r>
        <w:rPr>
          <w:rFonts w:ascii="宋体" w:hAnsi="宋体"/>
          <w:color w:val="auto"/>
          <w:sz w:val="21"/>
          <w:szCs w:val="21"/>
          <w:highlight w:val="none"/>
        </w:rPr>
        <w:t>-</w:t>
      </w:r>
      <w:r>
        <w:rPr>
          <w:rFonts w:hint="eastAsia" w:ascii="宋体" w:hAnsi="宋体"/>
          <w:color w:val="auto"/>
          <w:sz w:val="21"/>
          <w:szCs w:val="21"/>
          <w:highlight w:val="none"/>
        </w:rPr>
        <w:t>3</w:t>
      </w:r>
      <w:r>
        <w:rPr>
          <w:rFonts w:ascii="宋体" w:hAnsi="宋体"/>
          <w:color w:val="auto"/>
          <w:sz w:val="21"/>
          <w:szCs w:val="21"/>
          <w:highlight w:val="none"/>
        </w:rPr>
        <w:t>0</w:t>
      </w:r>
      <w:r>
        <w:rPr>
          <w:rFonts w:hint="eastAsia" w:ascii="宋体" w:hAnsi="宋体"/>
          <w:color w:val="auto"/>
          <w:sz w:val="21"/>
          <w:szCs w:val="21"/>
          <w:highlight w:val="none"/>
        </w:rPr>
        <w:t>℃</w:t>
      </w:r>
      <w:r>
        <w:rPr>
          <w:rFonts w:ascii="宋体" w:hAnsi="宋体"/>
          <w:color w:val="auto"/>
          <w:sz w:val="21"/>
          <w:szCs w:val="21"/>
          <w:highlight w:val="none"/>
        </w:rPr>
        <w:t>~70</w:t>
      </w:r>
      <w:r>
        <w:rPr>
          <w:rFonts w:hint="eastAsia" w:ascii="宋体" w:hAnsi="宋体"/>
          <w:color w:val="auto"/>
          <w:sz w:val="21"/>
          <w:szCs w:val="21"/>
          <w:highlight w:val="none"/>
        </w:rPr>
        <w:t>℃</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防护</w:t>
      </w:r>
      <w:r>
        <w:rPr>
          <w:rFonts w:ascii="宋体" w:hAnsi="宋体"/>
          <w:color w:val="auto"/>
          <w:sz w:val="21"/>
          <w:szCs w:val="21"/>
          <w:highlight w:val="none"/>
        </w:rPr>
        <w:t>等级：</w:t>
      </w:r>
      <w:r>
        <w:rPr>
          <w:rFonts w:hint="eastAsia" w:ascii="宋体" w:hAnsi="宋体"/>
          <w:color w:val="auto"/>
          <w:sz w:val="21"/>
          <w:szCs w:val="21"/>
          <w:highlight w:val="none"/>
        </w:rPr>
        <w:t>IP40,封装</w:t>
      </w:r>
      <w:r>
        <w:rPr>
          <w:rFonts w:ascii="宋体" w:hAnsi="宋体"/>
          <w:color w:val="auto"/>
          <w:sz w:val="21"/>
          <w:szCs w:val="21"/>
          <w:highlight w:val="none"/>
        </w:rPr>
        <w:t>至少为镀锌钢等金属结构</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 xml:space="preserve">满足标准：IEEE1613 </w:t>
      </w:r>
      <w:r>
        <w:rPr>
          <w:rFonts w:ascii="宋体" w:hAnsi="宋体"/>
          <w:color w:val="auto"/>
          <w:sz w:val="21"/>
          <w:szCs w:val="21"/>
          <w:highlight w:val="none"/>
        </w:rPr>
        <w:t>Class2</w:t>
      </w:r>
      <w:r>
        <w:rPr>
          <w:rFonts w:hint="eastAsia" w:ascii="宋体" w:hAnsi="宋体"/>
          <w:color w:val="auto"/>
          <w:sz w:val="21"/>
          <w:szCs w:val="21"/>
          <w:highlight w:val="none"/>
        </w:rPr>
        <w:t>（</w:t>
      </w:r>
      <w:r>
        <w:rPr>
          <w:rFonts w:ascii="宋体" w:hAnsi="宋体"/>
          <w:color w:val="auto"/>
          <w:sz w:val="21"/>
          <w:szCs w:val="21"/>
          <w:highlight w:val="none"/>
        </w:rPr>
        <w:t>电力）、</w:t>
      </w:r>
      <w:r>
        <w:rPr>
          <w:rFonts w:hint="eastAsia" w:ascii="宋体" w:hAnsi="宋体"/>
          <w:color w:val="auto"/>
          <w:sz w:val="21"/>
          <w:szCs w:val="21"/>
          <w:highlight w:val="none"/>
        </w:rPr>
        <w:t>IEC61850-3(电力)</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缓冲容量</w:t>
      </w:r>
      <w:r>
        <w:rPr>
          <w:rFonts w:ascii="宋体" w:hAnsi="宋体"/>
          <w:color w:val="auto"/>
          <w:sz w:val="21"/>
          <w:szCs w:val="21"/>
          <w:highlight w:val="none"/>
        </w:rPr>
        <w:t xml:space="preserve"> </w:t>
      </w:r>
      <w:r>
        <w:rPr>
          <w:rFonts w:hint="eastAsia" w:ascii="宋体" w:hAnsi="宋体"/>
          <w:color w:val="auto"/>
          <w:sz w:val="21"/>
          <w:szCs w:val="21"/>
          <w:highlight w:val="none"/>
        </w:rPr>
        <w:t>至少</w:t>
      </w:r>
      <w:r>
        <w:rPr>
          <w:rFonts w:ascii="宋体" w:hAnsi="宋体"/>
          <w:color w:val="auto"/>
          <w:sz w:val="21"/>
          <w:szCs w:val="21"/>
          <w:highlight w:val="none"/>
        </w:rPr>
        <w:t xml:space="preserve">6M </w:t>
      </w:r>
      <w:r>
        <w:rPr>
          <w:rFonts w:hint="eastAsia" w:ascii="宋体" w:hAnsi="宋体"/>
          <w:color w:val="auto"/>
          <w:sz w:val="21"/>
          <w:szCs w:val="21"/>
          <w:highlight w:val="none"/>
        </w:rPr>
        <w:t>字节</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安装方式：机架式</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传输距离：至少2</w:t>
      </w:r>
      <w:r>
        <w:rPr>
          <w:rFonts w:ascii="宋体" w:hAnsi="宋体"/>
          <w:color w:val="auto"/>
          <w:sz w:val="21"/>
          <w:szCs w:val="21"/>
          <w:highlight w:val="none"/>
        </w:rPr>
        <w:t>km</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支持VLAN、RSTP</w:t>
      </w:r>
      <w:r>
        <w:rPr>
          <w:rFonts w:hint="eastAsia" w:ascii="宋体" w:hAnsi="宋体"/>
          <w:color w:val="auto"/>
          <w:sz w:val="21"/>
          <w:szCs w:val="21"/>
          <w:highlight w:val="none"/>
        </w:rPr>
        <w:t>（快速生成树）</w:t>
      </w:r>
      <w:r>
        <w:rPr>
          <w:rFonts w:ascii="宋体" w:hAnsi="宋体"/>
          <w:color w:val="auto"/>
          <w:sz w:val="21"/>
          <w:szCs w:val="21"/>
          <w:highlight w:val="none"/>
        </w:rPr>
        <w:t>、MSTP</w:t>
      </w:r>
      <w:r>
        <w:rPr>
          <w:rFonts w:hint="eastAsia" w:ascii="宋体" w:hAnsi="宋体"/>
          <w:color w:val="auto"/>
          <w:sz w:val="21"/>
          <w:szCs w:val="21"/>
          <w:highlight w:val="none"/>
        </w:rPr>
        <w:t>（多生成树）</w:t>
      </w:r>
      <w:r>
        <w:rPr>
          <w:rFonts w:ascii="宋体" w:hAnsi="宋体"/>
          <w:color w:val="auto"/>
          <w:sz w:val="21"/>
          <w:szCs w:val="21"/>
          <w:highlight w:val="none"/>
        </w:rPr>
        <w:t>、</w:t>
      </w:r>
      <w:r>
        <w:rPr>
          <w:rFonts w:hint="eastAsia" w:ascii="宋体" w:hAnsi="宋体"/>
          <w:color w:val="auto"/>
          <w:sz w:val="21"/>
          <w:szCs w:val="21"/>
          <w:highlight w:val="none"/>
        </w:rPr>
        <w:t>广播风暴抑制、端口速率限制优先级队列等</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抗干扰性能：符合国标</w:t>
      </w:r>
      <w:r>
        <w:rPr>
          <w:rFonts w:ascii="宋体" w:hAnsi="宋体"/>
          <w:color w:val="auto"/>
          <w:sz w:val="21"/>
          <w:szCs w:val="21"/>
          <w:highlight w:val="none"/>
        </w:rPr>
        <w:t>GB6162</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绝缘耐压标准:满足部标</w:t>
      </w:r>
      <w:r>
        <w:rPr>
          <w:rFonts w:ascii="宋体" w:hAnsi="宋体"/>
          <w:color w:val="auto"/>
          <w:sz w:val="21"/>
          <w:szCs w:val="21"/>
          <w:highlight w:val="none"/>
        </w:rPr>
        <w:t>DL478</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电磁兼容性</w:t>
      </w:r>
      <w:r>
        <w:rPr>
          <w:rFonts w:ascii="宋体" w:hAnsi="宋体"/>
          <w:color w:val="auto"/>
          <w:sz w:val="21"/>
          <w:szCs w:val="21"/>
          <w:highlight w:val="none"/>
        </w:rPr>
        <w:t>要求：</w:t>
      </w:r>
    </w:p>
    <w:p>
      <w:pPr>
        <w:tabs>
          <w:tab w:val="left" w:pos="945"/>
        </w:tabs>
        <w:ind w:firstLine="420" w:firstLineChars="200"/>
        <w:rPr>
          <w:rFonts w:ascii="宋体" w:hAnsi="宋体"/>
          <w:color w:val="auto"/>
          <w:sz w:val="21"/>
          <w:szCs w:val="21"/>
          <w:highlight w:val="none"/>
        </w:rPr>
      </w:pPr>
      <w:r>
        <w:rPr>
          <w:rFonts w:ascii="宋体" w:hAnsi="宋体"/>
          <w:color w:val="auto"/>
          <w:sz w:val="21"/>
          <w:szCs w:val="21"/>
          <w:highlight w:val="none"/>
        </w:rPr>
        <w:t>IEC61000-4-2静电放电抗扰度：接触放电±8kV，空气放电±15kV；</w:t>
      </w:r>
    </w:p>
    <w:p>
      <w:pPr>
        <w:tabs>
          <w:tab w:val="left" w:pos="945"/>
        </w:tabs>
        <w:ind w:firstLine="420" w:firstLineChars="200"/>
        <w:rPr>
          <w:rFonts w:ascii="宋体" w:hAnsi="宋体"/>
          <w:color w:val="auto"/>
          <w:sz w:val="21"/>
          <w:szCs w:val="21"/>
          <w:highlight w:val="none"/>
        </w:rPr>
      </w:pPr>
      <w:r>
        <w:rPr>
          <w:rFonts w:ascii="宋体" w:hAnsi="宋体"/>
          <w:color w:val="auto"/>
          <w:sz w:val="21"/>
          <w:szCs w:val="21"/>
          <w:highlight w:val="none"/>
        </w:rPr>
        <w:t>EN 61000-4-3辐射电磁场抗扰度：35V/m；</w:t>
      </w:r>
    </w:p>
    <w:p>
      <w:pPr>
        <w:tabs>
          <w:tab w:val="left" w:pos="945"/>
        </w:tabs>
        <w:ind w:firstLine="420" w:firstLineChars="200"/>
        <w:rPr>
          <w:rFonts w:ascii="宋体" w:hAnsi="宋体"/>
          <w:color w:val="auto"/>
          <w:sz w:val="21"/>
          <w:szCs w:val="21"/>
          <w:highlight w:val="none"/>
        </w:rPr>
      </w:pPr>
      <w:r>
        <w:rPr>
          <w:rFonts w:ascii="宋体" w:hAnsi="宋体"/>
          <w:color w:val="auto"/>
          <w:sz w:val="21"/>
          <w:szCs w:val="21"/>
          <w:highlight w:val="none"/>
        </w:rPr>
        <w:t>IEC61000-4-4电快速瞬变脉冲群抗扰度：电源±4kV / 以太网接口±2kV</w:t>
      </w:r>
    </w:p>
    <w:p>
      <w:pPr>
        <w:tabs>
          <w:tab w:val="left" w:pos="945"/>
        </w:tabs>
        <w:ind w:firstLine="420" w:firstLineChars="200"/>
        <w:rPr>
          <w:rFonts w:ascii="宋体" w:hAnsi="宋体"/>
          <w:color w:val="auto"/>
          <w:sz w:val="21"/>
          <w:szCs w:val="21"/>
          <w:highlight w:val="none"/>
        </w:rPr>
      </w:pPr>
      <w:r>
        <w:rPr>
          <w:rFonts w:ascii="宋体" w:hAnsi="宋体"/>
          <w:color w:val="auto"/>
          <w:sz w:val="21"/>
          <w:szCs w:val="21"/>
          <w:highlight w:val="none"/>
        </w:rPr>
        <w:t>EN 61000-4-5浪涌（冲击）抗扰度：电源共模±4kV/差模±2kV，以太网接口共模±4kV</w:t>
      </w:r>
      <w:r>
        <w:rPr>
          <w:rFonts w:hint="eastAsia" w:ascii="宋体" w:hAnsi="宋体"/>
          <w:color w:val="auto"/>
          <w:sz w:val="21"/>
          <w:szCs w:val="21"/>
          <w:highlight w:val="none"/>
        </w:rPr>
        <w:t>；</w:t>
      </w:r>
    </w:p>
    <w:p>
      <w:pPr>
        <w:tabs>
          <w:tab w:val="left" w:pos="945"/>
        </w:tabs>
        <w:ind w:firstLine="420" w:firstLineChars="200"/>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通过KE</w:t>
      </w:r>
      <w:r>
        <w:rPr>
          <w:rFonts w:ascii="宋体" w:hAnsi="宋体"/>
          <w:color w:val="auto"/>
          <w:sz w:val="21"/>
          <w:szCs w:val="21"/>
          <w:highlight w:val="none"/>
        </w:rPr>
        <w:t>MA</w:t>
      </w:r>
      <w:r>
        <w:rPr>
          <w:rFonts w:hint="eastAsia" w:ascii="宋体" w:hAnsi="宋体"/>
          <w:color w:val="auto"/>
          <w:sz w:val="21"/>
          <w:szCs w:val="21"/>
          <w:highlight w:val="none"/>
        </w:rPr>
        <w:t>测试</w:t>
      </w:r>
      <w:r>
        <w:rPr>
          <w:rFonts w:ascii="宋体" w:hAnsi="宋体"/>
          <w:color w:val="auto"/>
          <w:sz w:val="21"/>
          <w:szCs w:val="21"/>
          <w:highlight w:val="none"/>
        </w:rPr>
        <w:t>，或国内电力工业权威机构检测合格</w:t>
      </w:r>
      <w:r>
        <w:rPr>
          <w:rFonts w:hint="eastAsia" w:ascii="宋体" w:hAnsi="宋体"/>
          <w:color w:val="auto"/>
          <w:sz w:val="21"/>
          <w:szCs w:val="21"/>
          <w:highlight w:val="none"/>
        </w:rPr>
        <w:t>。</w:t>
      </w:r>
    </w:p>
    <w:p>
      <w:pPr>
        <w:tabs>
          <w:tab w:val="left" w:pos="2700"/>
        </w:tabs>
        <w:ind w:firstLine="420"/>
        <w:textAlignment w:val="center"/>
        <w:rPr>
          <w:rFonts w:ascii="宋体" w:hAnsi="宋体"/>
          <w:color w:val="auto"/>
          <w:sz w:val="21"/>
          <w:szCs w:val="21"/>
          <w:highlight w:val="none"/>
        </w:rPr>
      </w:pPr>
      <w:r>
        <w:rPr>
          <w:rFonts w:ascii="宋体" w:hAnsi="宋体"/>
          <w:color w:val="auto"/>
          <w:sz w:val="21"/>
          <w:szCs w:val="21"/>
          <w:highlight w:val="none"/>
        </w:rPr>
        <w:t>b）</w:t>
      </w:r>
      <w:r>
        <w:rPr>
          <w:rFonts w:hint="eastAsia" w:ascii="宋体" w:hAnsi="宋体"/>
          <w:color w:val="auto"/>
          <w:sz w:val="21"/>
          <w:szCs w:val="21"/>
          <w:highlight w:val="none"/>
        </w:rPr>
        <w:t>阵列区至少</w:t>
      </w:r>
      <w:r>
        <w:rPr>
          <w:rFonts w:ascii="宋体" w:hAnsi="宋体"/>
          <w:color w:val="auto"/>
          <w:sz w:val="21"/>
          <w:szCs w:val="21"/>
          <w:highlight w:val="none"/>
        </w:rPr>
        <w:t>组成</w:t>
      </w:r>
      <w:r>
        <w:rPr>
          <w:rFonts w:hint="eastAsia" w:ascii="宋体" w:hAnsi="宋体"/>
          <w:color w:val="auto"/>
          <w:sz w:val="21"/>
          <w:szCs w:val="21"/>
          <w:highlight w:val="none"/>
        </w:rPr>
        <w:t>20个</w:t>
      </w:r>
      <w:r>
        <w:rPr>
          <w:rFonts w:ascii="宋体" w:hAnsi="宋体"/>
          <w:color w:val="auto"/>
          <w:sz w:val="21"/>
          <w:szCs w:val="21"/>
          <w:highlight w:val="none"/>
        </w:rPr>
        <w:t>光纤环网，配置</w:t>
      </w:r>
      <w:r>
        <w:rPr>
          <w:rFonts w:hint="eastAsia" w:ascii="宋体" w:hAnsi="宋体"/>
          <w:color w:val="auto"/>
          <w:sz w:val="21"/>
          <w:szCs w:val="21"/>
          <w:highlight w:val="none"/>
        </w:rPr>
        <w:t>至少2台多光口管理型中央环网交换机</w:t>
      </w:r>
      <w:r>
        <w:rPr>
          <w:rFonts w:ascii="宋体" w:hAnsi="宋体"/>
          <w:color w:val="auto"/>
          <w:sz w:val="21"/>
          <w:szCs w:val="21"/>
          <w:highlight w:val="none"/>
        </w:rPr>
        <w:t>组屏安装于继保室，用于与各</w:t>
      </w:r>
      <w:r>
        <w:rPr>
          <w:rFonts w:hint="eastAsia" w:ascii="宋体" w:hAnsi="宋体"/>
          <w:color w:val="auto"/>
          <w:sz w:val="21"/>
          <w:szCs w:val="21"/>
          <w:highlight w:val="none"/>
        </w:rPr>
        <w:t>光伏</w:t>
      </w:r>
      <w:r>
        <w:rPr>
          <w:rFonts w:ascii="宋体" w:hAnsi="宋体"/>
          <w:color w:val="auto"/>
          <w:sz w:val="21"/>
          <w:szCs w:val="21"/>
          <w:highlight w:val="none"/>
        </w:rPr>
        <w:t>子阵的光纤环网交换机</w:t>
      </w:r>
      <w:r>
        <w:rPr>
          <w:rFonts w:hint="eastAsia" w:ascii="宋体" w:hAnsi="宋体"/>
          <w:color w:val="auto"/>
          <w:sz w:val="21"/>
          <w:szCs w:val="21"/>
          <w:highlight w:val="none"/>
        </w:rPr>
        <w:t>组环，并将光伏阵列区</w:t>
      </w:r>
      <w:r>
        <w:rPr>
          <w:rFonts w:ascii="宋体" w:hAnsi="宋体"/>
          <w:color w:val="auto"/>
          <w:sz w:val="21"/>
          <w:szCs w:val="21"/>
          <w:highlight w:val="none"/>
        </w:rPr>
        <w:t>监控系统信息的汇总通信。</w:t>
      </w:r>
      <w:r>
        <w:rPr>
          <w:rFonts w:hint="eastAsia" w:ascii="宋体" w:hAnsi="宋体"/>
          <w:color w:val="auto"/>
          <w:sz w:val="21"/>
          <w:szCs w:val="21"/>
          <w:highlight w:val="none"/>
        </w:rPr>
        <w:t>每台光纤</w:t>
      </w:r>
      <w:r>
        <w:rPr>
          <w:rFonts w:ascii="宋体" w:hAnsi="宋体"/>
          <w:color w:val="auto"/>
          <w:sz w:val="21"/>
          <w:szCs w:val="21"/>
          <w:highlight w:val="none"/>
        </w:rPr>
        <w:t>环网交换机至少满足</w:t>
      </w:r>
      <w:r>
        <w:rPr>
          <w:rFonts w:hint="eastAsia" w:ascii="宋体" w:hAnsi="宋体"/>
          <w:color w:val="auto"/>
          <w:sz w:val="21"/>
          <w:szCs w:val="21"/>
          <w:highlight w:val="none"/>
        </w:rPr>
        <w:t>以下</w:t>
      </w:r>
      <w:r>
        <w:rPr>
          <w:rFonts w:ascii="宋体" w:hAnsi="宋体"/>
          <w:color w:val="auto"/>
          <w:sz w:val="21"/>
          <w:szCs w:val="21"/>
          <w:highlight w:val="none"/>
        </w:rPr>
        <w:t>技术要求</w:t>
      </w:r>
      <w:r>
        <w:rPr>
          <w:rFonts w:hint="eastAsia" w:ascii="宋体" w:hAnsi="宋体"/>
          <w:color w:val="auto"/>
          <w:sz w:val="21"/>
          <w:szCs w:val="21"/>
          <w:highlight w:val="none"/>
        </w:rPr>
        <w:t>：</w:t>
      </w:r>
    </w:p>
    <w:p>
      <w:pPr>
        <w:tabs>
          <w:tab w:val="left" w:pos="945"/>
        </w:tabs>
        <w:ind w:left="945"/>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端口：</w:t>
      </w:r>
      <w:r>
        <w:rPr>
          <w:rFonts w:ascii="宋体" w:hAnsi="宋体"/>
          <w:color w:val="auto"/>
          <w:sz w:val="21"/>
          <w:szCs w:val="21"/>
          <w:highlight w:val="none"/>
        </w:rPr>
        <w:t>4</w:t>
      </w:r>
      <w:r>
        <w:rPr>
          <w:rFonts w:hint="eastAsia" w:ascii="宋体" w:hAnsi="宋体"/>
          <w:color w:val="auto"/>
          <w:sz w:val="21"/>
          <w:szCs w:val="21"/>
          <w:highlight w:val="none"/>
        </w:rPr>
        <w:t>个</w:t>
      </w:r>
      <w:r>
        <w:rPr>
          <w:rFonts w:ascii="宋体" w:hAnsi="宋体"/>
          <w:color w:val="auto"/>
          <w:sz w:val="21"/>
          <w:szCs w:val="21"/>
          <w:highlight w:val="none"/>
        </w:rPr>
        <w:t xml:space="preserve">100M RJ-45 </w:t>
      </w:r>
      <w:r>
        <w:rPr>
          <w:rFonts w:hint="eastAsia" w:ascii="宋体" w:hAnsi="宋体"/>
          <w:color w:val="auto"/>
          <w:sz w:val="21"/>
          <w:szCs w:val="21"/>
          <w:highlight w:val="none"/>
        </w:rPr>
        <w:t>交换端口</w:t>
      </w:r>
      <w:r>
        <w:rPr>
          <w:rFonts w:ascii="宋体" w:hAnsi="宋体"/>
          <w:color w:val="auto"/>
          <w:sz w:val="21"/>
          <w:szCs w:val="21"/>
          <w:highlight w:val="none"/>
        </w:rPr>
        <w:t>+4</w:t>
      </w:r>
      <w:r>
        <w:rPr>
          <w:rFonts w:hint="eastAsia" w:ascii="宋体" w:hAnsi="宋体"/>
          <w:color w:val="auto"/>
          <w:sz w:val="21"/>
          <w:szCs w:val="21"/>
          <w:highlight w:val="none"/>
        </w:rPr>
        <w:t>个</w:t>
      </w:r>
      <w:r>
        <w:rPr>
          <w:rFonts w:ascii="宋体" w:hAnsi="宋体"/>
          <w:color w:val="auto"/>
          <w:sz w:val="21"/>
          <w:szCs w:val="21"/>
          <w:highlight w:val="none"/>
        </w:rPr>
        <w:t xml:space="preserve">1000M RJ-45 </w:t>
      </w:r>
      <w:r>
        <w:rPr>
          <w:rFonts w:hint="eastAsia" w:ascii="宋体" w:hAnsi="宋体"/>
          <w:color w:val="auto"/>
          <w:sz w:val="21"/>
          <w:szCs w:val="21"/>
          <w:highlight w:val="none"/>
        </w:rPr>
        <w:t>交换端口+20个</w:t>
      </w:r>
      <w:r>
        <w:rPr>
          <w:rFonts w:ascii="宋体" w:hAnsi="宋体"/>
          <w:color w:val="auto"/>
          <w:sz w:val="21"/>
          <w:szCs w:val="21"/>
          <w:highlight w:val="none"/>
        </w:rPr>
        <w:t>100FX</w:t>
      </w:r>
      <w:r>
        <w:rPr>
          <w:rFonts w:hint="eastAsia" w:ascii="宋体" w:hAnsi="宋体"/>
          <w:color w:val="auto"/>
          <w:sz w:val="21"/>
          <w:szCs w:val="21"/>
          <w:highlight w:val="none"/>
        </w:rPr>
        <w:t>单模光纤1310nm-</w:t>
      </w:r>
      <w:r>
        <w:rPr>
          <w:rFonts w:ascii="宋体" w:hAnsi="宋体"/>
          <w:color w:val="auto"/>
          <w:sz w:val="21"/>
          <w:szCs w:val="21"/>
          <w:highlight w:val="none"/>
        </w:rPr>
        <w:t>S</w:t>
      </w:r>
      <w:r>
        <w:rPr>
          <w:rFonts w:hint="eastAsia" w:ascii="宋体" w:hAnsi="宋体"/>
          <w:color w:val="auto"/>
          <w:sz w:val="21"/>
          <w:szCs w:val="21"/>
          <w:highlight w:val="none"/>
        </w:rPr>
        <w:t>C接口</w:t>
      </w:r>
    </w:p>
    <w:p>
      <w:pPr>
        <w:tabs>
          <w:tab w:val="left" w:pos="945"/>
        </w:tabs>
        <w:ind w:left="945"/>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电源：</w:t>
      </w:r>
      <w:r>
        <w:rPr>
          <w:rFonts w:ascii="宋体" w:hAnsi="宋体"/>
          <w:color w:val="auto"/>
          <w:sz w:val="21"/>
          <w:szCs w:val="21"/>
          <w:highlight w:val="none"/>
        </w:rPr>
        <w:t>DC</w:t>
      </w:r>
      <w:r>
        <w:rPr>
          <w:rFonts w:hint="eastAsia" w:ascii="宋体" w:hAnsi="宋体"/>
          <w:color w:val="auto"/>
          <w:sz w:val="21"/>
          <w:szCs w:val="21"/>
          <w:highlight w:val="none"/>
        </w:rPr>
        <w:t>220V</w:t>
      </w:r>
      <w:r>
        <w:rPr>
          <w:rFonts w:ascii="宋体" w:hAnsi="宋体"/>
          <w:color w:val="auto"/>
          <w:sz w:val="21"/>
          <w:szCs w:val="21"/>
          <w:highlight w:val="none"/>
        </w:rPr>
        <w:t xml:space="preserve"> </w:t>
      </w:r>
      <w:r>
        <w:rPr>
          <w:rFonts w:hint="eastAsia" w:ascii="宋体" w:hAnsi="宋体"/>
          <w:color w:val="auto"/>
          <w:sz w:val="21"/>
          <w:szCs w:val="21"/>
          <w:highlight w:val="none"/>
        </w:rPr>
        <w:t>或A</w:t>
      </w:r>
      <w:r>
        <w:rPr>
          <w:rFonts w:ascii="宋体" w:hAnsi="宋体"/>
          <w:color w:val="auto"/>
          <w:sz w:val="21"/>
          <w:szCs w:val="21"/>
          <w:highlight w:val="none"/>
        </w:rPr>
        <w:t>C</w:t>
      </w:r>
      <w:r>
        <w:rPr>
          <w:rFonts w:hint="eastAsia" w:ascii="宋体" w:hAnsi="宋体"/>
          <w:color w:val="auto"/>
          <w:sz w:val="21"/>
          <w:szCs w:val="21"/>
          <w:highlight w:val="none"/>
        </w:rPr>
        <w:t>22</w:t>
      </w:r>
      <w:r>
        <w:rPr>
          <w:rFonts w:ascii="宋体" w:hAnsi="宋体"/>
          <w:color w:val="auto"/>
          <w:sz w:val="21"/>
          <w:szCs w:val="21"/>
          <w:highlight w:val="none"/>
        </w:rPr>
        <w:t>0</w:t>
      </w:r>
      <w:r>
        <w:rPr>
          <w:rFonts w:hint="eastAsia" w:ascii="宋体" w:hAnsi="宋体"/>
          <w:color w:val="auto"/>
          <w:sz w:val="21"/>
          <w:szCs w:val="21"/>
          <w:highlight w:val="none"/>
        </w:rPr>
        <w:t>V</w:t>
      </w:r>
      <w:r>
        <w:rPr>
          <w:rFonts w:ascii="宋体" w:hAnsi="宋体"/>
          <w:color w:val="auto"/>
          <w:sz w:val="21"/>
          <w:szCs w:val="21"/>
          <w:highlight w:val="none"/>
        </w:rPr>
        <w:t xml:space="preserve"> </w:t>
      </w:r>
    </w:p>
    <w:p>
      <w:pPr>
        <w:tabs>
          <w:tab w:val="left" w:pos="945"/>
        </w:tabs>
        <w:ind w:left="945"/>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工作温度：-</w:t>
      </w:r>
      <w:r>
        <w:rPr>
          <w:rFonts w:ascii="宋体" w:hAnsi="宋体"/>
          <w:color w:val="auto"/>
          <w:sz w:val="21"/>
          <w:szCs w:val="21"/>
          <w:highlight w:val="none"/>
        </w:rPr>
        <w:t>30</w:t>
      </w:r>
      <w:r>
        <w:rPr>
          <w:rFonts w:hint="eastAsia" w:ascii="宋体" w:hAnsi="宋体"/>
          <w:color w:val="auto"/>
          <w:sz w:val="21"/>
          <w:szCs w:val="21"/>
          <w:highlight w:val="none"/>
        </w:rPr>
        <w:t>℃</w:t>
      </w:r>
      <w:r>
        <w:rPr>
          <w:rFonts w:ascii="宋体" w:hAnsi="宋体"/>
          <w:color w:val="auto"/>
          <w:sz w:val="21"/>
          <w:szCs w:val="21"/>
          <w:highlight w:val="none"/>
        </w:rPr>
        <w:t>~60</w:t>
      </w:r>
      <w:r>
        <w:rPr>
          <w:rFonts w:hint="eastAsia" w:ascii="宋体" w:hAnsi="宋体"/>
          <w:color w:val="auto"/>
          <w:sz w:val="21"/>
          <w:szCs w:val="21"/>
          <w:highlight w:val="none"/>
        </w:rPr>
        <w:t>℃，</w:t>
      </w:r>
      <w:r>
        <w:rPr>
          <w:rFonts w:ascii="宋体" w:hAnsi="宋体"/>
          <w:color w:val="auto"/>
          <w:sz w:val="21"/>
          <w:szCs w:val="21"/>
          <w:highlight w:val="none"/>
        </w:rPr>
        <w:t>自冷散热方式（</w:t>
      </w:r>
      <w:r>
        <w:rPr>
          <w:rFonts w:hint="eastAsia" w:ascii="宋体" w:hAnsi="宋体"/>
          <w:color w:val="auto"/>
          <w:sz w:val="21"/>
          <w:szCs w:val="21"/>
          <w:highlight w:val="none"/>
        </w:rPr>
        <w:t>无</w:t>
      </w:r>
      <w:r>
        <w:rPr>
          <w:rFonts w:ascii="宋体" w:hAnsi="宋体"/>
          <w:color w:val="auto"/>
          <w:sz w:val="21"/>
          <w:szCs w:val="21"/>
          <w:highlight w:val="none"/>
        </w:rPr>
        <w:t>风扇）</w:t>
      </w:r>
    </w:p>
    <w:p>
      <w:pPr>
        <w:tabs>
          <w:tab w:val="left" w:pos="945"/>
        </w:tabs>
        <w:ind w:left="945"/>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存放环境温度：</w:t>
      </w:r>
      <w:r>
        <w:rPr>
          <w:rFonts w:ascii="宋体" w:hAnsi="宋体"/>
          <w:color w:val="auto"/>
          <w:sz w:val="21"/>
          <w:szCs w:val="21"/>
          <w:highlight w:val="none"/>
        </w:rPr>
        <w:t>-40</w:t>
      </w:r>
      <w:r>
        <w:rPr>
          <w:rFonts w:hint="eastAsia" w:ascii="宋体" w:hAnsi="宋体"/>
          <w:color w:val="auto"/>
          <w:sz w:val="21"/>
          <w:szCs w:val="21"/>
          <w:highlight w:val="none"/>
        </w:rPr>
        <w:t>℃</w:t>
      </w:r>
      <w:r>
        <w:rPr>
          <w:rFonts w:ascii="宋体" w:hAnsi="宋体"/>
          <w:color w:val="auto"/>
          <w:sz w:val="21"/>
          <w:szCs w:val="21"/>
          <w:highlight w:val="none"/>
        </w:rPr>
        <w:t>~70</w:t>
      </w:r>
      <w:r>
        <w:rPr>
          <w:rFonts w:hint="eastAsia" w:ascii="宋体" w:hAnsi="宋体"/>
          <w:color w:val="auto"/>
          <w:sz w:val="21"/>
          <w:szCs w:val="21"/>
          <w:highlight w:val="none"/>
        </w:rPr>
        <w:t>℃</w:t>
      </w:r>
    </w:p>
    <w:p>
      <w:pPr>
        <w:tabs>
          <w:tab w:val="left" w:pos="945"/>
        </w:tabs>
        <w:ind w:left="945"/>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防护</w:t>
      </w:r>
      <w:r>
        <w:rPr>
          <w:rFonts w:ascii="宋体" w:hAnsi="宋体"/>
          <w:color w:val="auto"/>
          <w:sz w:val="21"/>
          <w:szCs w:val="21"/>
          <w:highlight w:val="none"/>
        </w:rPr>
        <w:t>等级：</w:t>
      </w:r>
      <w:r>
        <w:rPr>
          <w:rFonts w:hint="eastAsia" w:ascii="宋体" w:hAnsi="宋体"/>
          <w:color w:val="auto"/>
          <w:sz w:val="21"/>
          <w:szCs w:val="21"/>
          <w:highlight w:val="none"/>
        </w:rPr>
        <w:t>IP40,封装</w:t>
      </w:r>
      <w:r>
        <w:rPr>
          <w:rFonts w:ascii="宋体" w:hAnsi="宋体"/>
          <w:color w:val="auto"/>
          <w:sz w:val="21"/>
          <w:szCs w:val="21"/>
          <w:highlight w:val="none"/>
        </w:rPr>
        <w:t>至少为镀锌钢等金属结构</w:t>
      </w:r>
    </w:p>
    <w:p>
      <w:pPr>
        <w:tabs>
          <w:tab w:val="left" w:pos="945"/>
        </w:tabs>
        <w:ind w:left="945"/>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 xml:space="preserve">满足标准：IEEE1613 </w:t>
      </w:r>
      <w:r>
        <w:rPr>
          <w:rFonts w:ascii="宋体" w:hAnsi="宋体"/>
          <w:color w:val="auto"/>
          <w:sz w:val="21"/>
          <w:szCs w:val="21"/>
          <w:highlight w:val="none"/>
        </w:rPr>
        <w:t>Class2</w:t>
      </w:r>
      <w:r>
        <w:rPr>
          <w:rFonts w:hint="eastAsia" w:ascii="宋体" w:hAnsi="宋体"/>
          <w:color w:val="auto"/>
          <w:sz w:val="21"/>
          <w:szCs w:val="21"/>
          <w:highlight w:val="none"/>
        </w:rPr>
        <w:t>（</w:t>
      </w:r>
      <w:r>
        <w:rPr>
          <w:rFonts w:ascii="宋体" w:hAnsi="宋体"/>
          <w:color w:val="auto"/>
          <w:sz w:val="21"/>
          <w:szCs w:val="21"/>
          <w:highlight w:val="none"/>
        </w:rPr>
        <w:t>电力）、</w:t>
      </w:r>
      <w:r>
        <w:rPr>
          <w:rFonts w:hint="eastAsia" w:ascii="宋体" w:hAnsi="宋体"/>
          <w:color w:val="auto"/>
          <w:sz w:val="21"/>
          <w:szCs w:val="21"/>
          <w:highlight w:val="none"/>
        </w:rPr>
        <w:t>IEC61850-3(电力)</w:t>
      </w:r>
    </w:p>
    <w:p>
      <w:pPr>
        <w:tabs>
          <w:tab w:val="left" w:pos="945"/>
        </w:tabs>
        <w:ind w:left="945"/>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安装方式：机架式</w:t>
      </w:r>
    </w:p>
    <w:p>
      <w:pPr>
        <w:tabs>
          <w:tab w:val="left" w:pos="945"/>
        </w:tabs>
        <w:ind w:left="945"/>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传输距离：至少2</w:t>
      </w:r>
      <w:r>
        <w:rPr>
          <w:rFonts w:ascii="宋体" w:hAnsi="宋体"/>
          <w:color w:val="auto"/>
          <w:sz w:val="21"/>
          <w:szCs w:val="21"/>
          <w:highlight w:val="none"/>
        </w:rPr>
        <w:t>5km</w:t>
      </w:r>
    </w:p>
    <w:p>
      <w:pPr>
        <w:tabs>
          <w:tab w:val="left" w:pos="945"/>
        </w:tabs>
        <w:ind w:left="945"/>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支持VLAN、RSTP</w:t>
      </w:r>
      <w:r>
        <w:rPr>
          <w:rFonts w:hint="eastAsia" w:ascii="宋体" w:hAnsi="宋体"/>
          <w:color w:val="auto"/>
          <w:sz w:val="21"/>
          <w:szCs w:val="21"/>
          <w:highlight w:val="none"/>
        </w:rPr>
        <w:t>（快速生成树）</w:t>
      </w:r>
      <w:r>
        <w:rPr>
          <w:rFonts w:ascii="宋体" w:hAnsi="宋体"/>
          <w:color w:val="auto"/>
          <w:sz w:val="21"/>
          <w:szCs w:val="21"/>
          <w:highlight w:val="none"/>
        </w:rPr>
        <w:t>、MSTP</w:t>
      </w:r>
      <w:r>
        <w:rPr>
          <w:rFonts w:hint="eastAsia" w:ascii="宋体" w:hAnsi="宋体"/>
          <w:color w:val="auto"/>
          <w:sz w:val="21"/>
          <w:szCs w:val="21"/>
          <w:highlight w:val="none"/>
        </w:rPr>
        <w:t>（多生成树）</w:t>
      </w:r>
      <w:r>
        <w:rPr>
          <w:rFonts w:ascii="宋体" w:hAnsi="宋体"/>
          <w:color w:val="auto"/>
          <w:sz w:val="21"/>
          <w:szCs w:val="21"/>
          <w:highlight w:val="none"/>
        </w:rPr>
        <w:t>、</w:t>
      </w:r>
      <w:r>
        <w:rPr>
          <w:rFonts w:hint="eastAsia" w:ascii="宋体" w:hAnsi="宋体"/>
          <w:color w:val="auto"/>
          <w:sz w:val="21"/>
          <w:szCs w:val="21"/>
          <w:highlight w:val="none"/>
        </w:rPr>
        <w:t>RRPP（</w:t>
      </w:r>
      <w:r>
        <w:rPr>
          <w:rFonts w:ascii="宋体" w:hAnsi="宋体"/>
          <w:color w:val="auto"/>
          <w:sz w:val="21"/>
          <w:szCs w:val="21"/>
          <w:highlight w:val="none"/>
        </w:rPr>
        <w:t>快速环网保护协议）、</w:t>
      </w:r>
      <w:r>
        <w:rPr>
          <w:rFonts w:hint="eastAsia" w:ascii="宋体" w:hAnsi="宋体"/>
          <w:color w:val="auto"/>
          <w:sz w:val="21"/>
          <w:szCs w:val="21"/>
          <w:highlight w:val="none"/>
        </w:rPr>
        <w:t>RPR（</w:t>
      </w:r>
      <w:r>
        <w:rPr>
          <w:rFonts w:ascii="宋体" w:hAnsi="宋体"/>
          <w:color w:val="auto"/>
          <w:sz w:val="21"/>
          <w:szCs w:val="21"/>
          <w:highlight w:val="none"/>
        </w:rPr>
        <w:t>弹性分组环）</w:t>
      </w:r>
      <w:r>
        <w:rPr>
          <w:rFonts w:hint="eastAsia" w:ascii="宋体" w:hAnsi="宋体"/>
          <w:color w:val="auto"/>
          <w:sz w:val="21"/>
          <w:szCs w:val="21"/>
          <w:highlight w:val="none"/>
        </w:rPr>
        <w:t>、广播风暴抑制、端口速率限制优先级队列等</w:t>
      </w:r>
    </w:p>
    <w:p>
      <w:pPr>
        <w:tabs>
          <w:tab w:val="left" w:pos="945"/>
        </w:tabs>
        <w:ind w:left="945"/>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支持自愈式</w:t>
      </w:r>
      <w:r>
        <w:rPr>
          <w:rFonts w:ascii="宋体" w:hAnsi="宋体"/>
          <w:color w:val="auto"/>
          <w:sz w:val="21"/>
          <w:szCs w:val="21"/>
          <w:highlight w:val="none"/>
        </w:rPr>
        <w:t>双光纤</w:t>
      </w:r>
      <w:r>
        <w:rPr>
          <w:rFonts w:hint="eastAsia" w:ascii="宋体" w:hAnsi="宋体"/>
          <w:color w:val="auto"/>
          <w:sz w:val="21"/>
          <w:szCs w:val="21"/>
          <w:highlight w:val="none"/>
        </w:rPr>
        <w:t>冗余</w:t>
      </w:r>
      <w:r>
        <w:rPr>
          <w:rFonts w:ascii="宋体" w:hAnsi="宋体"/>
          <w:color w:val="auto"/>
          <w:sz w:val="21"/>
          <w:szCs w:val="21"/>
          <w:highlight w:val="none"/>
        </w:rPr>
        <w:t>以太网功能，</w:t>
      </w:r>
      <w:r>
        <w:rPr>
          <w:rFonts w:hint="eastAsia" w:ascii="宋体" w:hAnsi="宋体"/>
          <w:color w:val="auto"/>
          <w:sz w:val="21"/>
          <w:szCs w:val="21"/>
          <w:highlight w:val="none"/>
        </w:rPr>
        <w:t>自愈时间</w:t>
      </w:r>
      <w:r>
        <w:rPr>
          <w:rFonts w:ascii="宋体" w:hAnsi="宋体"/>
          <w:color w:val="auto"/>
          <w:sz w:val="21"/>
          <w:szCs w:val="21"/>
          <w:highlight w:val="none"/>
        </w:rPr>
        <w:t>＜</w:t>
      </w:r>
      <w:r>
        <w:rPr>
          <w:rFonts w:hint="eastAsia" w:ascii="宋体" w:hAnsi="宋体"/>
          <w:color w:val="auto"/>
          <w:sz w:val="21"/>
          <w:szCs w:val="21"/>
          <w:highlight w:val="none"/>
        </w:rPr>
        <w:t>20</w:t>
      </w:r>
      <w:r>
        <w:rPr>
          <w:rFonts w:ascii="宋体" w:hAnsi="宋体"/>
          <w:color w:val="auto"/>
          <w:sz w:val="21"/>
          <w:szCs w:val="21"/>
          <w:highlight w:val="none"/>
        </w:rPr>
        <w:t>ms</w:t>
      </w:r>
    </w:p>
    <w:p>
      <w:pPr>
        <w:tabs>
          <w:tab w:val="left" w:pos="945"/>
        </w:tabs>
        <w:ind w:left="945"/>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一个</w:t>
      </w:r>
      <w:r>
        <w:rPr>
          <w:rFonts w:hint="eastAsia" w:ascii="宋体" w:hAnsi="宋体"/>
          <w:color w:val="auto"/>
          <w:sz w:val="21"/>
          <w:szCs w:val="21"/>
          <w:highlight w:val="none"/>
        </w:rPr>
        <w:t>环上</w:t>
      </w:r>
      <w:r>
        <w:rPr>
          <w:rFonts w:ascii="宋体" w:hAnsi="宋体"/>
          <w:color w:val="auto"/>
          <w:sz w:val="21"/>
          <w:szCs w:val="21"/>
          <w:highlight w:val="none"/>
        </w:rPr>
        <w:t>至少可接</w:t>
      </w:r>
      <w:r>
        <w:rPr>
          <w:rFonts w:hint="eastAsia" w:ascii="宋体" w:hAnsi="宋体"/>
          <w:color w:val="auto"/>
          <w:sz w:val="21"/>
          <w:szCs w:val="21"/>
          <w:highlight w:val="none"/>
        </w:rPr>
        <w:t>50台</w:t>
      </w:r>
      <w:r>
        <w:rPr>
          <w:rFonts w:ascii="宋体" w:hAnsi="宋体"/>
          <w:color w:val="auto"/>
          <w:sz w:val="21"/>
          <w:szCs w:val="21"/>
          <w:highlight w:val="none"/>
        </w:rPr>
        <w:t>交换机</w:t>
      </w:r>
    </w:p>
    <w:p>
      <w:pPr>
        <w:tabs>
          <w:tab w:val="left" w:pos="945"/>
        </w:tabs>
        <w:ind w:left="945"/>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光纤</w:t>
      </w:r>
      <w:r>
        <w:rPr>
          <w:rFonts w:ascii="宋体" w:hAnsi="宋体"/>
          <w:color w:val="auto"/>
          <w:sz w:val="21"/>
          <w:szCs w:val="21"/>
          <w:highlight w:val="none"/>
        </w:rPr>
        <w:t>接口</w:t>
      </w:r>
      <w:r>
        <w:rPr>
          <w:rFonts w:hint="eastAsia" w:ascii="宋体" w:hAnsi="宋体"/>
          <w:color w:val="auto"/>
          <w:sz w:val="21"/>
          <w:szCs w:val="21"/>
          <w:highlight w:val="none"/>
        </w:rPr>
        <w:t>△dB≥20</w:t>
      </w:r>
      <w:r>
        <w:rPr>
          <w:rFonts w:ascii="宋体" w:hAnsi="宋体"/>
          <w:color w:val="auto"/>
          <w:sz w:val="21"/>
          <w:szCs w:val="21"/>
          <w:highlight w:val="none"/>
        </w:rPr>
        <w:t>dB</w:t>
      </w:r>
    </w:p>
    <w:p>
      <w:pPr>
        <w:tabs>
          <w:tab w:val="left" w:pos="945"/>
        </w:tabs>
        <w:ind w:left="945"/>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抗干扰性能：符合国标</w:t>
      </w:r>
      <w:r>
        <w:rPr>
          <w:rFonts w:ascii="宋体" w:hAnsi="宋体"/>
          <w:color w:val="auto"/>
          <w:sz w:val="21"/>
          <w:szCs w:val="21"/>
          <w:highlight w:val="none"/>
        </w:rPr>
        <w:t>GB6162</w:t>
      </w:r>
    </w:p>
    <w:p>
      <w:pPr>
        <w:tabs>
          <w:tab w:val="left" w:pos="945"/>
        </w:tabs>
        <w:ind w:left="945"/>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绝缘耐压标准:满足部标</w:t>
      </w:r>
      <w:r>
        <w:rPr>
          <w:rFonts w:ascii="宋体" w:hAnsi="宋体"/>
          <w:color w:val="auto"/>
          <w:sz w:val="21"/>
          <w:szCs w:val="21"/>
          <w:highlight w:val="none"/>
        </w:rPr>
        <w:t>DL478</w:t>
      </w:r>
    </w:p>
    <w:p>
      <w:pPr>
        <w:tabs>
          <w:tab w:val="left" w:pos="945"/>
        </w:tabs>
        <w:ind w:left="945"/>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电磁兼容性</w:t>
      </w:r>
      <w:r>
        <w:rPr>
          <w:rFonts w:ascii="宋体" w:hAnsi="宋体"/>
          <w:color w:val="auto"/>
          <w:sz w:val="21"/>
          <w:szCs w:val="21"/>
          <w:highlight w:val="none"/>
        </w:rPr>
        <w:t>要求：</w:t>
      </w:r>
    </w:p>
    <w:p>
      <w:pPr>
        <w:tabs>
          <w:tab w:val="left" w:pos="945"/>
        </w:tabs>
        <w:ind w:left="945"/>
        <w:rPr>
          <w:rFonts w:ascii="宋体" w:hAnsi="宋体"/>
          <w:color w:val="auto"/>
          <w:sz w:val="21"/>
          <w:szCs w:val="21"/>
          <w:highlight w:val="none"/>
        </w:rPr>
      </w:pPr>
      <w:r>
        <w:rPr>
          <w:rFonts w:ascii="宋体" w:hAnsi="宋体"/>
          <w:color w:val="auto"/>
          <w:sz w:val="21"/>
          <w:szCs w:val="21"/>
          <w:highlight w:val="none"/>
        </w:rPr>
        <w:t>IEC61000-4-2静电放电抗扰度：接触放电±8kV，空气放电±15kV；</w:t>
      </w:r>
    </w:p>
    <w:p>
      <w:pPr>
        <w:tabs>
          <w:tab w:val="left" w:pos="945"/>
        </w:tabs>
        <w:ind w:left="945"/>
        <w:rPr>
          <w:rFonts w:ascii="宋体" w:hAnsi="宋体"/>
          <w:color w:val="auto"/>
          <w:sz w:val="21"/>
          <w:szCs w:val="21"/>
          <w:highlight w:val="none"/>
        </w:rPr>
      </w:pPr>
      <w:r>
        <w:rPr>
          <w:rFonts w:ascii="宋体" w:hAnsi="宋体"/>
          <w:color w:val="auto"/>
          <w:sz w:val="21"/>
          <w:szCs w:val="21"/>
          <w:highlight w:val="none"/>
        </w:rPr>
        <w:t>EN 61000-4-3辐射电磁场抗扰度：35V/m；</w:t>
      </w:r>
    </w:p>
    <w:p>
      <w:pPr>
        <w:tabs>
          <w:tab w:val="left" w:pos="945"/>
        </w:tabs>
        <w:ind w:left="945"/>
        <w:rPr>
          <w:rFonts w:ascii="宋体" w:hAnsi="宋体"/>
          <w:color w:val="auto"/>
          <w:sz w:val="21"/>
          <w:szCs w:val="21"/>
          <w:highlight w:val="none"/>
        </w:rPr>
      </w:pPr>
      <w:r>
        <w:rPr>
          <w:rFonts w:ascii="宋体" w:hAnsi="宋体"/>
          <w:color w:val="auto"/>
          <w:sz w:val="21"/>
          <w:szCs w:val="21"/>
          <w:highlight w:val="none"/>
        </w:rPr>
        <w:t>IEC61000-4-4电快速瞬变脉冲群抗扰度：电源±4kV / 以太网接口±2kV</w:t>
      </w:r>
    </w:p>
    <w:p>
      <w:pPr>
        <w:tabs>
          <w:tab w:val="left" w:pos="945"/>
        </w:tabs>
        <w:ind w:left="945"/>
        <w:rPr>
          <w:rFonts w:ascii="宋体" w:hAnsi="宋体"/>
          <w:color w:val="auto"/>
          <w:sz w:val="21"/>
          <w:szCs w:val="21"/>
          <w:highlight w:val="none"/>
        </w:rPr>
      </w:pPr>
      <w:r>
        <w:rPr>
          <w:rFonts w:ascii="宋体" w:hAnsi="宋体"/>
          <w:color w:val="auto"/>
          <w:sz w:val="21"/>
          <w:szCs w:val="21"/>
          <w:highlight w:val="none"/>
        </w:rPr>
        <w:t>EN 61000-4-5浪涌（冲击）抗扰度：电源共模±4kV/差模±2kV，以太网接口共模±4kV</w:t>
      </w:r>
      <w:r>
        <w:rPr>
          <w:rFonts w:hint="eastAsia" w:ascii="宋体" w:hAnsi="宋体"/>
          <w:color w:val="auto"/>
          <w:sz w:val="21"/>
          <w:szCs w:val="21"/>
          <w:highlight w:val="none"/>
        </w:rPr>
        <w:t>；</w:t>
      </w:r>
    </w:p>
    <w:p>
      <w:pPr>
        <w:tabs>
          <w:tab w:val="left" w:pos="945"/>
        </w:tabs>
        <w:ind w:left="945"/>
        <w:rPr>
          <w:rFonts w:ascii="宋体" w:hAnsi="宋体"/>
          <w:color w:val="auto"/>
          <w:sz w:val="21"/>
          <w:szCs w:val="21"/>
          <w:highlight w:val="none"/>
        </w:rPr>
      </w:pPr>
      <w:r>
        <w:rPr>
          <w:rFonts w:ascii="Wingdings" w:hAnsi="Wingdings"/>
          <w:color w:val="auto"/>
          <w:sz w:val="21"/>
          <w:szCs w:val="21"/>
          <w:highlight w:val="none"/>
        </w:rPr>
        <w:t></w:t>
      </w:r>
      <w:r>
        <w:rPr>
          <w:rFonts w:ascii="宋体" w:hAnsi="宋体"/>
          <w:color w:val="auto"/>
          <w:sz w:val="21"/>
          <w:szCs w:val="21"/>
          <w:highlight w:val="none"/>
        </w:rPr>
        <w:t xml:space="preserve"> </w:t>
      </w:r>
      <w:r>
        <w:rPr>
          <w:rFonts w:hint="eastAsia" w:ascii="宋体" w:hAnsi="宋体"/>
          <w:color w:val="auto"/>
          <w:sz w:val="21"/>
          <w:szCs w:val="21"/>
          <w:highlight w:val="none"/>
        </w:rPr>
        <w:t>通过KE</w:t>
      </w:r>
      <w:r>
        <w:rPr>
          <w:rFonts w:ascii="宋体" w:hAnsi="宋体"/>
          <w:color w:val="auto"/>
          <w:sz w:val="21"/>
          <w:szCs w:val="21"/>
          <w:highlight w:val="none"/>
        </w:rPr>
        <w:t>MA</w:t>
      </w:r>
      <w:r>
        <w:rPr>
          <w:rFonts w:hint="eastAsia" w:ascii="宋体" w:hAnsi="宋体"/>
          <w:color w:val="auto"/>
          <w:sz w:val="21"/>
          <w:szCs w:val="21"/>
          <w:highlight w:val="none"/>
        </w:rPr>
        <w:t>测试</w:t>
      </w:r>
      <w:r>
        <w:rPr>
          <w:rFonts w:ascii="宋体" w:hAnsi="宋体"/>
          <w:color w:val="auto"/>
          <w:sz w:val="21"/>
          <w:szCs w:val="21"/>
          <w:highlight w:val="none"/>
        </w:rPr>
        <w:t>，或国内电力工业权威机构检测合格</w:t>
      </w:r>
      <w:r>
        <w:rPr>
          <w:rFonts w:hint="eastAsia" w:ascii="宋体" w:hAnsi="宋体"/>
          <w:color w:val="auto"/>
          <w:sz w:val="21"/>
          <w:szCs w:val="21"/>
          <w:highlight w:val="none"/>
        </w:rPr>
        <w:t>。</w:t>
      </w:r>
    </w:p>
    <w:p>
      <w:pPr>
        <w:tabs>
          <w:tab w:val="left" w:pos="945"/>
        </w:tabs>
        <w:textAlignment w:val="center"/>
        <w:rPr>
          <w:rFonts w:ascii="宋体" w:hAnsi="宋体"/>
          <w:bCs/>
          <w:color w:val="auto"/>
          <w:sz w:val="21"/>
          <w:szCs w:val="21"/>
          <w:highlight w:val="none"/>
        </w:rPr>
      </w:pPr>
      <w:r>
        <w:rPr>
          <w:rFonts w:hint="eastAsia" w:ascii="宋体" w:hAnsi="宋体"/>
          <w:bCs/>
          <w:color w:val="auto"/>
          <w:sz w:val="21"/>
          <w:szCs w:val="21"/>
          <w:highlight w:val="none"/>
        </w:rPr>
        <w:t>（三</w:t>
      </w:r>
      <w:r>
        <w:rPr>
          <w:rFonts w:ascii="宋体" w:hAnsi="宋体"/>
          <w:bCs/>
          <w:color w:val="auto"/>
          <w:sz w:val="21"/>
          <w:szCs w:val="21"/>
          <w:highlight w:val="none"/>
        </w:rPr>
        <w:t>）</w:t>
      </w:r>
      <w:r>
        <w:rPr>
          <w:rFonts w:hint="eastAsia" w:ascii="宋体" w:hAnsi="宋体"/>
          <w:bCs/>
          <w:color w:val="auto"/>
          <w:sz w:val="21"/>
          <w:szCs w:val="21"/>
          <w:highlight w:val="none"/>
        </w:rPr>
        <w:t>阵列区现地</w:t>
      </w:r>
      <w:r>
        <w:rPr>
          <w:rFonts w:ascii="宋体" w:hAnsi="宋体"/>
          <w:bCs/>
          <w:color w:val="auto"/>
          <w:sz w:val="21"/>
          <w:szCs w:val="21"/>
          <w:highlight w:val="none"/>
        </w:rPr>
        <w:t>间隔层</w:t>
      </w:r>
    </w:p>
    <w:p>
      <w:pPr>
        <w:tabs>
          <w:tab w:val="left" w:pos="945"/>
        </w:tabs>
        <w:ind w:firstLine="420"/>
        <w:textAlignment w:val="center"/>
        <w:rPr>
          <w:rFonts w:ascii="宋体" w:hAnsi="宋体"/>
          <w:bCs/>
          <w:color w:val="auto"/>
          <w:sz w:val="21"/>
          <w:szCs w:val="21"/>
          <w:highlight w:val="none"/>
        </w:rPr>
      </w:pPr>
      <w:r>
        <w:rPr>
          <w:rFonts w:hint="eastAsia" w:ascii="宋体" w:hAnsi="宋体"/>
          <w:bCs/>
          <w:color w:val="auto"/>
          <w:sz w:val="21"/>
          <w:szCs w:val="21"/>
          <w:highlight w:val="none"/>
        </w:rPr>
        <w:t>光伏</w:t>
      </w:r>
      <w:r>
        <w:rPr>
          <w:rFonts w:ascii="宋体" w:hAnsi="宋体"/>
          <w:bCs/>
          <w:color w:val="auto"/>
          <w:sz w:val="21"/>
          <w:szCs w:val="21"/>
          <w:highlight w:val="none"/>
        </w:rPr>
        <w:t>阵列区</w:t>
      </w:r>
      <w:r>
        <w:rPr>
          <w:rFonts w:hint="eastAsia" w:ascii="宋体" w:hAnsi="宋体"/>
          <w:bCs/>
          <w:color w:val="auto"/>
          <w:sz w:val="21"/>
          <w:szCs w:val="21"/>
          <w:highlight w:val="none"/>
        </w:rPr>
        <w:t>现地</w:t>
      </w:r>
      <w:r>
        <w:rPr>
          <w:rFonts w:ascii="宋体" w:hAnsi="宋体"/>
          <w:bCs/>
          <w:color w:val="auto"/>
          <w:sz w:val="21"/>
          <w:szCs w:val="21"/>
          <w:highlight w:val="none"/>
        </w:rPr>
        <w:t>间隔层按每个方阵配置</w:t>
      </w:r>
      <w:r>
        <w:rPr>
          <w:rFonts w:hint="eastAsia" w:ascii="宋体" w:hAnsi="宋体"/>
          <w:bCs/>
          <w:color w:val="auto"/>
          <w:sz w:val="21"/>
          <w:szCs w:val="21"/>
          <w:highlight w:val="none"/>
        </w:rPr>
        <w:t>1台箱变</w:t>
      </w:r>
      <w:r>
        <w:rPr>
          <w:rFonts w:ascii="宋体" w:hAnsi="宋体"/>
          <w:bCs/>
          <w:color w:val="auto"/>
          <w:sz w:val="21"/>
          <w:szCs w:val="21"/>
          <w:highlight w:val="none"/>
        </w:rPr>
        <w:t>测控智能一体化装置，布置于各箱式变压器低压室内。</w:t>
      </w:r>
      <w:r>
        <w:rPr>
          <w:rFonts w:hint="eastAsia" w:ascii="宋体" w:hAnsi="宋体"/>
          <w:bCs/>
          <w:color w:val="auto"/>
          <w:sz w:val="21"/>
          <w:szCs w:val="21"/>
          <w:highlight w:val="none"/>
        </w:rPr>
        <w:t>智能</w:t>
      </w:r>
      <w:r>
        <w:rPr>
          <w:rFonts w:ascii="宋体" w:hAnsi="宋体"/>
          <w:bCs/>
          <w:color w:val="auto"/>
          <w:sz w:val="21"/>
          <w:szCs w:val="21"/>
          <w:highlight w:val="none"/>
        </w:rPr>
        <w:t>一体化装置</w:t>
      </w:r>
      <w:r>
        <w:rPr>
          <w:rFonts w:hint="eastAsia" w:ascii="宋体" w:hAnsi="宋体"/>
          <w:bCs/>
          <w:color w:val="auto"/>
          <w:sz w:val="21"/>
          <w:szCs w:val="21"/>
          <w:highlight w:val="none"/>
        </w:rPr>
        <w:t>具备</w:t>
      </w:r>
      <w:r>
        <w:rPr>
          <w:rFonts w:ascii="宋体" w:hAnsi="宋体"/>
          <w:bCs/>
          <w:color w:val="auto"/>
          <w:sz w:val="21"/>
          <w:szCs w:val="21"/>
          <w:highlight w:val="none"/>
        </w:rPr>
        <w:t>箱变保护测控、</w:t>
      </w:r>
      <w:r>
        <w:rPr>
          <w:rFonts w:hint="eastAsia" w:ascii="宋体" w:hAnsi="宋体"/>
          <w:bCs/>
          <w:color w:val="auto"/>
          <w:sz w:val="21"/>
          <w:szCs w:val="21"/>
          <w:highlight w:val="none"/>
        </w:rPr>
        <w:t>通信管理</w:t>
      </w:r>
      <w:r>
        <w:rPr>
          <w:rFonts w:ascii="宋体" w:hAnsi="宋体"/>
          <w:bCs/>
          <w:color w:val="auto"/>
          <w:sz w:val="21"/>
          <w:szCs w:val="21"/>
          <w:highlight w:val="none"/>
        </w:rPr>
        <w:t>等多个功能</w:t>
      </w:r>
      <w:r>
        <w:rPr>
          <w:rFonts w:hint="eastAsia" w:ascii="宋体" w:hAnsi="宋体"/>
          <w:bCs/>
          <w:color w:val="auto"/>
          <w:sz w:val="21"/>
          <w:szCs w:val="21"/>
          <w:highlight w:val="none"/>
        </w:rPr>
        <w:t>。装置</w:t>
      </w:r>
      <w:r>
        <w:rPr>
          <w:rFonts w:ascii="宋体" w:hAnsi="宋体"/>
          <w:bCs/>
          <w:color w:val="auto"/>
          <w:sz w:val="21"/>
          <w:szCs w:val="21"/>
          <w:highlight w:val="none"/>
        </w:rPr>
        <w:t>应提供</w:t>
      </w:r>
      <w:r>
        <w:rPr>
          <w:rFonts w:hint="eastAsia" w:ascii="宋体" w:hAnsi="宋体"/>
          <w:bCs/>
          <w:color w:val="auto"/>
          <w:sz w:val="21"/>
          <w:szCs w:val="21"/>
          <w:highlight w:val="none"/>
        </w:rPr>
        <w:t>完备</w:t>
      </w:r>
      <w:r>
        <w:rPr>
          <w:rFonts w:ascii="宋体" w:hAnsi="宋体"/>
          <w:bCs/>
          <w:color w:val="auto"/>
          <w:sz w:val="21"/>
          <w:szCs w:val="21"/>
          <w:highlight w:val="none"/>
        </w:rPr>
        <w:t>的保护功能，各</w:t>
      </w:r>
      <w:r>
        <w:rPr>
          <w:rFonts w:hint="eastAsia" w:ascii="宋体" w:hAnsi="宋体"/>
          <w:bCs/>
          <w:color w:val="auto"/>
          <w:sz w:val="21"/>
          <w:szCs w:val="21"/>
          <w:highlight w:val="none"/>
        </w:rPr>
        <w:t>保护</w:t>
      </w:r>
      <w:r>
        <w:rPr>
          <w:rFonts w:ascii="宋体" w:hAnsi="宋体"/>
          <w:bCs/>
          <w:color w:val="auto"/>
          <w:sz w:val="21"/>
          <w:szCs w:val="21"/>
          <w:highlight w:val="none"/>
        </w:rPr>
        <w:t>元件按模块化设计，相互独立</w:t>
      </w:r>
      <w:r>
        <w:rPr>
          <w:rFonts w:hint="eastAsia" w:ascii="宋体" w:hAnsi="宋体"/>
          <w:bCs/>
          <w:color w:val="auto"/>
          <w:sz w:val="21"/>
          <w:szCs w:val="21"/>
          <w:highlight w:val="none"/>
        </w:rPr>
        <w:t>，</w:t>
      </w:r>
      <w:r>
        <w:rPr>
          <w:rFonts w:ascii="宋体" w:hAnsi="宋体"/>
          <w:bCs/>
          <w:color w:val="auto"/>
          <w:sz w:val="21"/>
          <w:szCs w:val="21"/>
          <w:highlight w:val="none"/>
        </w:rPr>
        <w:t>可灵活配置。</w:t>
      </w:r>
      <w:r>
        <w:rPr>
          <w:rFonts w:hint="eastAsia" w:ascii="宋体" w:hAnsi="宋体"/>
          <w:bCs/>
          <w:color w:val="auto"/>
          <w:sz w:val="21"/>
          <w:szCs w:val="21"/>
          <w:highlight w:val="none"/>
        </w:rPr>
        <w:t>保护模块</w:t>
      </w:r>
      <w:r>
        <w:rPr>
          <w:rFonts w:ascii="宋体" w:hAnsi="宋体"/>
          <w:bCs/>
          <w:color w:val="auto"/>
          <w:sz w:val="21"/>
          <w:szCs w:val="21"/>
          <w:highlight w:val="none"/>
        </w:rPr>
        <w:t>与其他模块完全分开，保护模块在硬件、软件上</w:t>
      </w:r>
      <w:r>
        <w:rPr>
          <w:rFonts w:hint="eastAsia" w:ascii="宋体" w:hAnsi="宋体"/>
          <w:bCs/>
          <w:color w:val="auto"/>
          <w:sz w:val="21"/>
          <w:szCs w:val="21"/>
          <w:highlight w:val="none"/>
        </w:rPr>
        <w:t>均</w:t>
      </w:r>
      <w:r>
        <w:rPr>
          <w:rFonts w:ascii="宋体" w:hAnsi="宋体"/>
          <w:bCs/>
          <w:color w:val="auto"/>
          <w:sz w:val="21"/>
          <w:szCs w:val="21"/>
          <w:highlight w:val="none"/>
        </w:rPr>
        <w:t>具有独立性，保护功能完全不依赖通讯网，网络瘫痪与否不影响保护正常运行。</w:t>
      </w:r>
      <w:r>
        <w:rPr>
          <w:rFonts w:hint="eastAsia" w:ascii="宋体" w:hAnsi="宋体"/>
          <w:bCs/>
          <w:color w:val="auto"/>
          <w:sz w:val="21"/>
          <w:szCs w:val="21"/>
          <w:highlight w:val="none"/>
        </w:rPr>
        <w:t>具体</w:t>
      </w:r>
      <w:r>
        <w:rPr>
          <w:rFonts w:ascii="宋体" w:hAnsi="宋体"/>
          <w:bCs/>
          <w:color w:val="auto"/>
          <w:sz w:val="21"/>
          <w:szCs w:val="21"/>
          <w:highlight w:val="none"/>
        </w:rPr>
        <w:t>要求如下：</w:t>
      </w:r>
    </w:p>
    <w:p>
      <w:pPr>
        <w:numPr>
          <w:ilvl w:val="0"/>
          <w:numId w:val="5"/>
        </w:numPr>
        <w:tabs>
          <w:tab w:val="left" w:pos="945"/>
        </w:tabs>
        <w:textAlignment w:val="center"/>
        <w:rPr>
          <w:rFonts w:ascii="宋体" w:hAnsi="宋体"/>
          <w:bCs/>
          <w:color w:val="auto"/>
          <w:sz w:val="21"/>
          <w:szCs w:val="21"/>
          <w:highlight w:val="none"/>
        </w:rPr>
      </w:pPr>
      <w:r>
        <w:rPr>
          <w:rFonts w:hint="eastAsia" w:ascii="宋体" w:hAnsi="宋体"/>
          <w:bCs/>
          <w:color w:val="auto"/>
          <w:sz w:val="21"/>
          <w:szCs w:val="21"/>
          <w:highlight w:val="none"/>
        </w:rPr>
        <w:t>箱变保护</w:t>
      </w:r>
      <w:r>
        <w:rPr>
          <w:rFonts w:ascii="宋体" w:hAnsi="宋体"/>
          <w:bCs/>
          <w:color w:val="auto"/>
          <w:sz w:val="21"/>
          <w:szCs w:val="21"/>
          <w:highlight w:val="none"/>
        </w:rPr>
        <w:t>测控</w:t>
      </w:r>
      <w:r>
        <w:rPr>
          <w:rFonts w:hint="eastAsia" w:ascii="宋体" w:hAnsi="宋体"/>
          <w:bCs/>
          <w:color w:val="auto"/>
          <w:sz w:val="21"/>
          <w:szCs w:val="21"/>
          <w:highlight w:val="none"/>
        </w:rPr>
        <w:t>功能</w:t>
      </w:r>
    </w:p>
    <w:p>
      <w:pPr>
        <w:tabs>
          <w:tab w:val="left" w:pos="945"/>
        </w:tabs>
        <w:ind w:firstLine="420" w:firstLineChars="200"/>
        <w:textAlignment w:val="center"/>
        <w:rPr>
          <w:rFonts w:ascii="宋体" w:hAnsi="宋体"/>
          <w:bCs/>
          <w:color w:val="auto"/>
          <w:sz w:val="21"/>
          <w:szCs w:val="21"/>
          <w:highlight w:val="none"/>
        </w:rPr>
      </w:pPr>
      <w:r>
        <w:rPr>
          <w:rFonts w:ascii="宋体" w:hAnsi="宋体"/>
          <w:bCs/>
          <w:color w:val="auto"/>
          <w:sz w:val="21"/>
          <w:szCs w:val="21"/>
          <w:highlight w:val="none"/>
        </w:rPr>
        <w:t>a）</w:t>
      </w:r>
      <w:r>
        <w:rPr>
          <w:rFonts w:hint="eastAsia" w:ascii="宋体" w:hAnsi="宋体"/>
          <w:bCs/>
          <w:color w:val="auto"/>
          <w:sz w:val="21"/>
          <w:szCs w:val="21"/>
          <w:highlight w:val="none"/>
        </w:rPr>
        <w:t>智能一体化</w:t>
      </w:r>
      <w:r>
        <w:rPr>
          <w:rFonts w:ascii="宋体" w:hAnsi="宋体"/>
          <w:bCs/>
          <w:color w:val="auto"/>
          <w:sz w:val="21"/>
          <w:szCs w:val="21"/>
          <w:highlight w:val="none"/>
        </w:rPr>
        <w:t>装置</w:t>
      </w:r>
      <w:r>
        <w:rPr>
          <w:rFonts w:hint="eastAsia" w:ascii="宋体" w:hAnsi="宋体"/>
          <w:bCs/>
          <w:color w:val="auto"/>
          <w:sz w:val="21"/>
          <w:szCs w:val="21"/>
          <w:highlight w:val="none"/>
        </w:rPr>
        <w:t>放置于箱变低压室控制保护小室内，设备应能在温度－</w:t>
      </w:r>
      <w:r>
        <w:rPr>
          <w:rFonts w:ascii="宋体" w:hAnsi="宋体"/>
          <w:bCs/>
          <w:color w:val="auto"/>
          <w:sz w:val="21"/>
          <w:szCs w:val="21"/>
          <w:highlight w:val="none"/>
        </w:rPr>
        <w:t>30</w:t>
      </w:r>
      <w:r>
        <w:rPr>
          <w:rFonts w:hint="eastAsia" w:ascii="宋体" w:hAnsi="宋体"/>
          <w:bCs/>
          <w:color w:val="auto"/>
          <w:sz w:val="21"/>
          <w:szCs w:val="21"/>
          <w:highlight w:val="none"/>
        </w:rPr>
        <w:t>℃～＋</w:t>
      </w:r>
      <w:r>
        <w:rPr>
          <w:rFonts w:ascii="宋体" w:hAnsi="宋体"/>
          <w:bCs/>
          <w:color w:val="auto"/>
          <w:sz w:val="21"/>
          <w:szCs w:val="21"/>
          <w:highlight w:val="none"/>
        </w:rPr>
        <w:t>60</w:t>
      </w:r>
      <w:r>
        <w:rPr>
          <w:rFonts w:hint="eastAsia" w:ascii="宋体" w:hAnsi="宋体"/>
          <w:bCs/>
          <w:color w:val="auto"/>
          <w:sz w:val="21"/>
          <w:szCs w:val="21"/>
          <w:highlight w:val="none"/>
        </w:rPr>
        <w:t>℃可靠运行。装置应满足箱变保护</w:t>
      </w:r>
      <w:r>
        <w:rPr>
          <w:rFonts w:ascii="宋体" w:hAnsi="宋体"/>
          <w:bCs/>
          <w:color w:val="auto"/>
          <w:sz w:val="21"/>
          <w:szCs w:val="21"/>
          <w:highlight w:val="none"/>
        </w:rPr>
        <w:t>、</w:t>
      </w:r>
      <w:r>
        <w:rPr>
          <w:rFonts w:hint="eastAsia" w:ascii="宋体" w:hAnsi="宋体"/>
          <w:bCs/>
          <w:color w:val="auto"/>
          <w:sz w:val="21"/>
          <w:szCs w:val="21"/>
          <w:highlight w:val="none"/>
        </w:rPr>
        <w:t>遥测、遥信及遥控量的要求，且需提供2路RS485口、2路以太网口。可支持的通讯协议有：IEC60870-5-103、IEC60870-5-104、IEC61850、MODBUS等。装置所需AC220V电源由箱变厂家负责接引。</w:t>
      </w:r>
    </w:p>
    <w:p>
      <w:pPr>
        <w:tabs>
          <w:tab w:val="left" w:pos="2700"/>
        </w:tabs>
        <w:ind w:firstLine="420" w:firstLineChars="200"/>
        <w:textAlignment w:val="center"/>
        <w:rPr>
          <w:rFonts w:ascii="宋体" w:hAnsi="宋体"/>
          <w:color w:val="auto"/>
          <w:sz w:val="21"/>
          <w:szCs w:val="21"/>
          <w:highlight w:val="none"/>
        </w:rPr>
      </w:pPr>
      <w:r>
        <w:rPr>
          <w:rFonts w:ascii="宋体" w:hAnsi="宋体"/>
          <w:bCs/>
          <w:color w:val="auto"/>
          <w:sz w:val="21"/>
          <w:szCs w:val="21"/>
          <w:highlight w:val="none"/>
        </w:rPr>
        <w:t>b）</w:t>
      </w:r>
      <w:r>
        <w:rPr>
          <w:rFonts w:hint="eastAsia" w:ascii="宋体" w:hAnsi="宋体"/>
          <w:color w:val="auto"/>
          <w:sz w:val="21"/>
          <w:szCs w:val="21"/>
          <w:highlight w:val="none"/>
        </w:rPr>
        <w:t>装置具体保护</w:t>
      </w:r>
      <w:r>
        <w:rPr>
          <w:rFonts w:ascii="宋体" w:hAnsi="宋体"/>
          <w:color w:val="auto"/>
          <w:sz w:val="21"/>
          <w:szCs w:val="21"/>
          <w:highlight w:val="none"/>
        </w:rPr>
        <w:t>测控</w:t>
      </w:r>
      <w:r>
        <w:rPr>
          <w:rFonts w:hint="eastAsia" w:ascii="宋体" w:hAnsi="宋体"/>
          <w:color w:val="auto"/>
          <w:sz w:val="21"/>
          <w:szCs w:val="21"/>
          <w:highlight w:val="none"/>
        </w:rPr>
        <w:t>性能指标要求如下：</w:t>
      </w:r>
    </w:p>
    <w:p>
      <w:pPr>
        <w:tabs>
          <w:tab w:val="left" w:pos="2700"/>
        </w:tabs>
        <w:ind w:firstLine="735" w:firstLineChars="350"/>
        <w:textAlignment w:val="center"/>
        <w:rPr>
          <w:rFonts w:ascii="宋体" w:hAnsi="宋体"/>
          <w:color w:val="auto"/>
          <w:sz w:val="21"/>
          <w:szCs w:val="21"/>
          <w:highlight w:val="none"/>
        </w:rPr>
      </w:pPr>
      <w:r>
        <w:rPr>
          <w:rFonts w:hint="eastAsia" w:ascii="宋体" w:hAnsi="宋体"/>
          <w:color w:val="auto"/>
          <w:sz w:val="21"/>
          <w:szCs w:val="21"/>
          <w:highlight w:val="none"/>
        </w:rPr>
        <w:t>a.设备工作条件：</w:t>
      </w:r>
    </w:p>
    <w:p>
      <w:pPr>
        <w:tabs>
          <w:tab w:val="left" w:pos="2700"/>
        </w:tabs>
        <w:ind w:firstLine="945" w:firstLineChars="450"/>
        <w:textAlignment w:val="center"/>
        <w:rPr>
          <w:rFonts w:ascii="宋体" w:hAnsi="宋体"/>
          <w:color w:val="auto"/>
          <w:sz w:val="21"/>
          <w:szCs w:val="21"/>
          <w:highlight w:val="none"/>
        </w:rPr>
      </w:pPr>
      <w:r>
        <w:rPr>
          <w:rFonts w:hint="eastAsia" w:ascii="宋体" w:hAnsi="宋体"/>
          <w:color w:val="auto"/>
          <w:sz w:val="21"/>
          <w:szCs w:val="21"/>
          <w:highlight w:val="none"/>
        </w:rPr>
        <w:t>设备供电电源电压：  AC 220 V ±15 %</w:t>
      </w:r>
    </w:p>
    <w:p>
      <w:pPr>
        <w:tabs>
          <w:tab w:val="left" w:pos="2700"/>
        </w:tabs>
        <w:ind w:firstLine="945" w:firstLineChars="450"/>
        <w:textAlignment w:val="center"/>
        <w:rPr>
          <w:rFonts w:ascii="宋体" w:hAnsi="宋体"/>
          <w:color w:val="auto"/>
          <w:sz w:val="21"/>
          <w:szCs w:val="21"/>
          <w:highlight w:val="none"/>
        </w:rPr>
      </w:pPr>
      <w:r>
        <w:rPr>
          <w:rFonts w:hint="eastAsia" w:ascii="宋体" w:hAnsi="宋体"/>
          <w:color w:val="auto"/>
          <w:sz w:val="21"/>
          <w:szCs w:val="21"/>
          <w:highlight w:val="none"/>
        </w:rPr>
        <w:t xml:space="preserve">设备供电电源频率：  50 Hz </w:t>
      </w:r>
    </w:p>
    <w:p>
      <w:pPr>
        <w:tabs>
          <w:tab w:val="left" w:pos="2700"/>
        </w:tabs>
        <w:ind w:firstLine="945" w:firstLineChars="450"/>
        <w:textAlignment w:val="center"/>
        <w:rPr>
          <w:rFonts w:ascii="宋体" w:hAnsi="宋体"/>
          <w:color w:val="auto"/>
          <w:sz w:val="21"/>
          <w:szCs w:val="21"/>
          <w:highlight w:val="none"/>
        </w:rPr>
      </w:pPr>
      <w:r>
        <w:rPr>
          <w:rFonts w:hint="eastAsia" w:ascii="宋体" w:hAnsi="宋体"/>
          <w:color w:val="auto"/>
          <w:sz w:val="21"/>
          <w:szCs w:val="21"/>
          <w:highlight w:val="none"/>
        </w:rPr>
        <w:t>设备运行环境：      -</w:t>
      </w:r>
      <w:r>
        <w:rPr>
          <w:rFonts w:ascii="宋体" w:hAnsi="宋体"/>
          <w:color w:val="auto"/>
          <w:sz w:val="21"/>
          <w:szCs w:val="21"/>
          <w:highlight w:val="none"/>
        </w:rPr>
        <w:t>30</w:t>
      </w:r>
      <w:r>
        <w:rPr>
          <w:rFonts w:hint="eastAsia" w:ascii="宋体" w:hAnsi="宋体"/>
          <w:color w:val="auto"/>
          <w:sz w:val="21"/>
          <w:szCs w:val="21"/>
          <w:highlight w:val="none"/>
        </w:rPr>
        <w:t>℃～+</w:t>
      </w:r>
      <w:r>
        <w:rPr>
          <w:rFonts w:ascii="宋体" w:hAnsi="宋体"/>
          <w:color w:val="auto"/>
          <w:sz w:val="21"/>
          <w:szCs w:val="21"/>
          <w:highlight w:val="none"/>
        </w:rPr>
        <w:t>60</w:t>
      </w:r>
      <w:r>
        <w:rPr>
          <w:rFonts w:hint="eastAsia" w:ascii="宋体" w:hAnsi="宋体"/>
          <w:color w:val="auto"/>
          <w:sz w:val="21"/>
          <w:szCs w:val="21"/>
          <w:highlight w:val="none"/>
        </w:rPr>
        <w:t>℃</w:t>
      </w:r>
    </w:p>
    <w:p>
      <w:pPr>
        <w:tabs>
          <w:tab w:val="left" w:pos="2700"/>
        </w:tabs>
        <w:ind w:firstLine="945" w:firstLineChars="450"/>
        <w:textAlignment w:val="center"/>
        <w:rPr>
          <w:rFonts w:ascii="宋体" w:hAnsi="宋体"/>
          <w:color w:val="auto"/>
          <w:sz w:val="21"/>
          <w:szCs w:val="21"/>
          <w:highlight w:val="none"/>
        </w:rPr>
      </w:pPr>
      <w:r>
        <w:rPr>
          <w:rFonts w:hint="eastAsia" w:ascii="宋体" w:hAnsi="宋体"/>
          <w:color w:val="auto"/>
          <w:sz w:val="21"/>
          <w:szCs w:val="21"/>
          <w:highlight w:val="none"/>
        </w:rPr>
        <w:t>储存环境温度：      -</w:t>
      </w:r>
      <w:r>
        <w:rPr>
          <w:rFonts w:ascii="宋体" w:hAnsi="宋体"/>
          <w:color w:val="auto"/>
          <w:sz w:val="21"/>
          <w:szCs w:val="21"/>
          <w:highlight w:val="none"/>
        </w:rPr>
        <w:t>40</w:t>
      </w:r>
      <w:r>
        <w:rPr>
          <w:rFonts w:hint="eastAsia" w:ascii="宋体" w:hAnsi="宋体"/>
          <w:color w:val="auto"/>
          <w:sz w:val="21"/>
          <w:szCs w:val="21"/>
          <w:highlight w:val="none"/>
        </w:rPr>
        <w:t>℃～+</w:t>
      </w:r>
      <w:r>
        <w:rPr>
          <w:rFonts w:ascii="宋体" w:hAnsi="宋体"/>
          <w:color w:val="auto"/>
          <w:sz w:val="21"/>
          <w:szCs w:val="21"/>
          <w:highlight w:val="none"/>
        </w:rPr>
        <w:t>70</w:t>
      </w:r>
      <w:r>
        <w:rPr>
          <w:rFonts w:hint="eastAsia" w:ascii="宋体" w:hAnsi="宋体"/>
          <w:color w:val="auto"/>
          <w:sz w:val="21"/>
          <w:szCs w:val="21"/>
          <w:highlight w:val="none"/>
        </w:rPr>
        <w:t>℃</w:t>
      </w:r>
    </w:p>
    <w:p>
      <w:pPr>
        <w:tabs>
          <w:tab w:val="left" w:pos="2700"/>
        </w:tabs>
        <w:ind w:firstLine="735" w:firstLineChars="350"/>
        <w:textAlignment w:val="center"/>
        <w:rPr>
          <w:rFonts w:ascii="宋体" w:hAnsi="宋体"/>
          <w:color w:val="auto"/>
          <w:sz w:val="21"/>
          <w:szCs w:val="21"/>
          <w:highlight w:val="none"/>
        </w:rPr>
      </w:pPr>
      <w:r>
        <w:rPr>
          <w:rFonts w:ascii="宋体" w:hAnsi="宋体"/>
          <w:color w:val="auto"/>
          <w:sz w:val="21"/>
          <w:szCs w:val="21"/>
          <w:highlight w:val="none"/>
        </w:rPr>
        <w:t>b</w:t>
      </w:r>
      <w:r>
        <w:rPr>
          <w:rFonts w:hint="eastAsia" w:ascii="宋体" w:hAnsi="宋体"/>
          <w:color w:val="auto"/>
          <w:sz w:val="21"/>
          <w:szCs w:val="21"/>
          <w:highlight w:val="none"/>
        </w:rPr>
        <w:t>.保护装置的功率消耗</w:t>
      </w:r>
    </w:p>
    <w:p>
      <w:pPr>
        <w:tabs>
          <w:tab w:val="left" w:pos="2700"/>
        </w:tabs>
        <w:ind w:firstLine="945" w:firstLineChars="450"/>
        <w:textAlignment w:val="center"/>
        <w:rPr>
          <w:rFonts w:ascii="宋体" w:hAnsi="宋体"/>
          <w:color w:val="auto"/>
          <w:sz w:val="21"/>
          <w:szCs w:val="21"/>
          <w:highlight w:val="none"/>
        </w:rPr>
      </w:pPr>
      <w:r>
        <w:rPr>
          <w:rFonts w:hint="eastAsia" w:ascii="宋体" w:hAnsi="宋体"/>
          <w:color w:val="auto"/>
          <w:sz w:val="21"/>
          <w:szCs w:val="21"/>
          <w:highlight w:val="none"/>
        </w:rPr>
        <w:t>额定功耗： 不大于10W</w:t>
      </w:r>
    </w:p>
    <w:p>
      <w:pPr>
        <w:tabs>
          <w:tab w:val="left" w:pos="2700"/>
        </w:tabs>
        <w:ind w:firstLine="735" w:firstLineChars="350"/>
        <w:textAlignment w:val="center"/>
        <w:rPr>
          <w:rFonts w:ascii="宋体" w:hAnsi="宋体"/>
          <w:color w:val="auto"/>
          <w:sz w:val="21"/>
          <w:szCs w:val="21"/>
          <w:highlight w:val="none"/>
        </w:rPr>
      </w:pPr>
      <w:r>
        <w:rPr>
          <w:rFonts w:ascii="宋体" w:hAnsi="宋体"/>
          <w:color w:val="auto"/>
          <w:sz w:val="21"/>
          <w:szCs w:val="21"/>
          <w:highlight w:val="none"/>
        </w:rPr>
        <w:t>c.</w:t>
      </w:r>
      <w:r>
        <w:rPr>
          <w:rFonts w:hint="eastAsia" w:ascii="宋体" w:hAnsi="宋体"/>
          <w:color w:val="auto"/>
          <w:sz w:val="21"/>
          <w:szCs w:val="21"/>
          <w:highlight w:val="none"/>
        </w:rPr>
        <w:t>接点容量:长期允许通过电流不小于3A；触点断开容量为不小于30W。</w:t>
      </w:r>
    </w:p>
    <w:p>
      <w:pPr>
        <w:tabs>
          <w:tab w:val="left" w:pos="2700"/>
        </w:tabs>
        <w:ind w:firstLine="735" w:firstLineChars="350"/>
        <w:textAlignment w:val="center"/>
        <w:rPr>
          <w:rFonts w:ascii="宋体" w:hAnsi="宋体"/>
          <w:color w:val="auto"/>
          <w:sz w:val="21"/>
          <w:szCs w:val="21"/>
          <w:highlight w:val="none"/>
        </w:rPr>
      </w:pPr>
      <w:r>
        <w:rPr>
          <w:rFonts w:ascii="宋体" w:hAnsi="宋体"/>
          <w:color w:val="auto"/>
          <w:sz w:val="21"/>
          <w:szCs w:val="21"/>
          <w:highlight w:val="none"/>
        </w:rPr>
        <w:t>d</w:t>
      </w:r>
      <w:r>
        <w:rPr>
          <w:rFonts w:hint="eastAsia" w:ascii="宋体" w:hAnsi="宋体"/>
          <w:color w:val="auto"/>
          <w:sz w:val="21"/>
          <w:szCs w:val="21"/>
          <w:highlight w:val="none"/>
        </w:rPr>
        <w:t>.A/D转换精度： 16位</w:t>
      </w:r>
    </w:p>
    <w:p>
      <w:pPr>
        <w:tabs>
          <w:tab w:val="left" w:pos="2700"/>
        </w:tabs>
        <w:ind w:firstLine="420" w:firstLineChars="200"/>
        <w:textAlignment w:val="center"/>
        <w:rPr>
          <w:rFonts w:ascii="宋体" w:hAnsi="宋体"/>
          <w:color w:val="auto"/>
          <w:sz w:val="21"/>
          <w:szCs w:val="21"/>
          <w:highlight w:val="none"/>
        </w:rPr>
      </w:pPr>
      <w:r>
        <w:rPr>
          <w:rFonts w:ascii="宋体" w:hAnsi="宋体"/>
          <w:bCs/>
          <w:color w:val="auto"/>
          <w:sz w:val="21"/>
          <w:szCs w:val="21"/>
          <w:highlight w:val="none"/>
        </w:rPr>
        <w:t>c）</w:t>
      </w:r>
      <w:r>
        <w:rPr>
          <w:rFonts w:hint="eastAsia" w:ascii="宋体" w:hAnsi="宋体"/>
          <w:color w:val="auto"/>
          <w:sz w:val="21"/>
          <w:szCs w:val="21"/>
          <w:highlight w:val="none"/>
        </w:rPr>
        <w:t>主要功能特点：</w:t>
      </w:r>
    </w:p>
    <w:p>
      <w:pPr>
        <w:tabs>
          <w:tab w:val="left" w:pos="945"/>
        </w:tabs>
        <w:ind w:firstLine="420" w:firstLineChars="200"/>
        <w:textAlignment w:val="center"/>
        <w:rPr>
          <w:rFonts w:ascii="宋体" w:hAnsi="宋体"/>
          <w:bCs/>
          <w:color w:val="auto"/>
          <w:sz w:val="21"/>
          <w:szCs w:val="21"/>
          <w:highlight w:val="none"/>
        </w:rPr>
      </w:pPr>
      <w:r>
        <w:rPr>
          <w:rFonts w:ascii="Wingdings" w:hAnsi="Wingdings"/>
          <w:color w:val="auto"/>
          <w:sz w:val="21"/>
          <w:szCs w:val="21"/>
          <w:highlight w:val="none"/>
        </w:rPr>
        <w:t></w:t>
      </w:r>
      <w:r>
        <w:rPr>
          <w:rFonts w:hint="eastAsia" w:ascii="宋体" w:hAnsi="宋体"/>
          <w:bCs/>
          <w:color w:val="auto"/>
          <w:sz w:val="21"/>
          <w:szCs w:val="21"/>
          <w:highlight w:val="none"/>
        </w:rPr>
        <w:t>装置具备电流速断保护、过电流保护、零序电流保护、低压/过压保护及箱变本体保护功能。各项功能指标应满足相关的电力行业标准或国家标准的要求；</w:t>
      </w:r>
    </w:p>
    <w:p>
      <w:pPr>
        <w:numPr>
          <w:ilvl w:val="255"/>
          <w:numId w:val="0"/>
        </w:numPr>
        <w:tabs>
          <w:tab w:val="left" w:pos="945"/>
        </w:tabs>
        <w:ind w:firstLine="420" w:firstLineChars="200"/>
        <w:textAlignment w:val="center"/>
        <w:rPr>
          <w:rFonts w:ascii="宋体" w:hAnsi="宋体"/>
          <w:bCs/>
          <w:color w:val="auto"/>
          <w:sz w:val="21"/>
          <w:szCs w:val="21"/>
          <w:highlight w:val="none"/>
        </w:rPr>
      </w:pPr>
      <w:r>
        <w:rPr>
          <w:rFonts w:ascii="Wingdings" w:hAnsi="Wingdings"/>
          <w:color w:val="auto"/>
          <w:sz w:val="21"/>
          <w:szCs w:val="21"/>
          <w:highlight w:val="none"/>
        </w:rPr>
        <w:t></w:t>
      </w:r>
      <w:r>
        <w:rPr>
          <w:rFonts w:hint="eastAsia" w:ascii="宋体" w:hAnsi="宋体"/>
          <w:bCs/>
          <w:color w:val="auto"/>
          <w:sz w:val="21"/>
          <w:szCs w:val="21"/>
          <w:highlight w:val="none"/>
        </w:rPr>
        <w:t>装置至少具有20路遥信开入；</w:t>
      </w:r>
    </w:p>
    <w:p>
      <w:pPr>
        <w:numPr>
          <w:ilvl w:val="255"/>
          <w:numId w:val="0"/>
        </w:numPr>
        <w:tabs>
          <w:tab w:val="left" w:pos="945"/>
        </w:tabs>
        <w:ind w:firstLine="420" w:firstLineChars="200"/>
        <w:textAlignment w:val="center"/>
        <w:rPr>
          <w:rFonts w:ascii="宋体" w:hAnsi="宋体"/>
          <w:bCs/>
          <w:color w:val="auto"/>
          <w:sz w:val="21"/>
          <w:szCs w:val="21"/>
          <w:highlight w:val="none"/>
        </w:rPr>
      </w:pPr>
      <w:r>
        <w:rPr>
          <w:rFonts w:ascii="Wingdings" w:hAnsi="Wingdings"/>
          <w:color w:val="auto"/>
          <w:sz w:val="21"/>
          <w:szCs w:val="21"/>
          <w:highlight w:val="none"/>
        </w:rPr>
        <w:t></w:t>
      </w:r>
      <w:r>
        <w:rPr>
          <w:rFonts w:hint="eastAsia" w:ascii="宋体" w:hAnsi="宋体"/>
          <w:bCs/>
          <w:color w:val="auto"/>
          <w:sz w:val="21"/>
          <w:szCs w:val="21"/>
          <w:highlight w:val="none"/>
        </w:rPr>
        <w:t>装置至少具有3组断路器合分闸遥控功能；</w:t>
      </w:r>
    </w:p>
    <w:p>
      <w:pPr>
        <w:numPr>
          <w:ilvl w:val="255"/>
          <w:numId w:val="0"/>
        </w:numPr>
        <w:tabs>
          <w:tab w:val="left" w:pos="945"/>
        </w:tabs>
        <w:ind w:firstLine="420" w:firstLineChars="200"/>
        <w:jc w:val="left"/>
        <w:textAlignment w:val="center"/>
        <w:rPr>
          <w:rFonts w:ascii="宋体" w:hAnsi="宋体"/>
          <w:bCs/>
          <w:color w:val="auto"/>
          <w:sz w:val="21"/>
          <w:szCs w:val="21"/>
          <w:highlight w:val="none"/>
        </w:rPr>
      </w:pPr>
      <w:r>
        <w:rPr>
          <w:rFonts w:ascii="Wingdings" w:hAnsi="Wingdings"/>
          <w:color w:val="auto"/>
          <w:sz w:val="21"/>
          <w:szCs w:val="21"/>
          <w:highlight w:val="none"/>
        </w:rPr>
        <w:t></w:t>
      </w:r>
      <w:r>
        <w:rPr>
          <w:rFonts w:hint="eastAsia" w:ascii="宋体" w:hAnsi="宋体"/>
          <w:bCs/>
          <w:color w:val="auto"/>
          <w:sz w:val="21"/>
          <w:szCs w:val="21"/>
          <w:highlight w:val="none"/>
        </w:rPr>
        <w:t>装置至少具有2路直流量输入，其中一路热电阻或4~20mA可选，另一路可固定为4~20mA输入；</w:t>
      </w:r>
    </w:p>
    <w:p>
      <w:pPr>
        <w:numPr>
          <w:ilvl w:val="255"/>
          <w:numId w:val="0"/>
        </w:numPr>
        <w:tabs>
          <w:tab w:val="left" w:pos="945"/>
        </w:tabs>
        <w:ind w:firstLine="420" w:firstLineChars="200"/>
        <w:textAlignment w:val="center"/>
        <w:rPr>
          <w:rFonts w:ascii="宋体" w:hAnsi="宋体"/>
          <w:bCs/>
          <w:color w:val="auto"/>
          <w:sz w:val="21"/>
          <w:szCs w:val="21"/>
          <w:highlight w:val="none"/>
        </w:rPr>
      </w:pPr>
      <w:r>
        <w:rPr>
          <w:rFonts w:ascii="Wingdings" w:hAnsi="Wingdings"/>
          <w:color w:val="auto"/>
          <w:sz w:val="21"/>
          <w:szCs w:val="21"/>
          <w:highlight w:val="none"/>
        </w:rPr>
        <w:t></w:t>
      </w:r>
      <w:r>
        <w:rPr>
          <w:rFonts w:hint="eastAsia" w:ascii="宋体" w:hAnsi="宋体"/>
          <w:bCs/>
          <w:color w:val="auto"/>
          <w:sz w:val="21"/>
          <w:szCs w:val="21"/>
          <w:highlight w:val="none"/>
        </w:rPr>
        <w:t>具有交流采样功能，可测量I、U、P、Q、F、COSφ、有功电度、无功电度等遥测量；变压器侧不设PT，装置应可直接采集2组0~800V交流三相电压；</w:t>
      </w:r>
    </w:p>
    <w:p>
      <w:pPr>
        <w:tabs>
          <w:tab w:val="left" w:pos="945"/>
        </w:tabs>
        <w:ind w:firstLine="420" w:firstLineChars="200"/>
        <w:textAlignment w:val="center"/>
        <w:rPr>
          <w:rFonts w:ascii="宋体" w:hAnsi="宋体"/>
          <w:bCs/>
          <w:color w:val="auto"/>
          <w:sz w:val="21"/>
          <w:szCs w:val="21"/>
          <w:highlight w:val="none"/>
        </w:rPr>
      </w:pPr>
      <w:r>
        <w:rPr>
          <w:rFonts w:ascii="Wingdings" w:hAnsi="Wingdings"/>
          <w:color w:val="auto"/>
          <w:sz w:val="21"/>
          <w:szCs w:val="21"/>
          <w:highlight w:val="none"/>
        </w:rPr>
        <w:t></w:t>
      </w:r>
      <w:r>
        <w:rPr>
          <w:rFonts w:hint="eastAsia" w:ascii="宋体" w:hAnsi="宋体"/>
          <w:bCs/>
          <w:color w:val="auto"/>
          <w:sz w:val="21"/>
          <w:szCs w:val="21"/>
          <w:highlight w:val="none"/>
        </w:rPr>
        <w:t>具有完善的事件报告处理功能和操作记录功能，可至少保存最新25次SOE变位记录、最新25次用户操作记录；</w:t>
      </w:r>
    </w:p>
    <w:p>
      <w:pPr>
        <w:numPr>
          <w:ilvl w:val="255"/>
          <w:numId w:val="0"/>
        </w:numPr>
        <w:tabs>
          <w:tab w:val="left" w:pos="945"/>
        </w:tabs>
        <w:ind w:firstLine="420" w:firstLineChars="200"/>
        <w:textAlignment w:val="center"/>
        <w:rPr>
          <w:rFonts w:ascii="宋体" w:hAnsi="宋体"/>
          <w:bCs/>
          <w:color w:val="auto"/>
          <w:sz w:val="21"/>
          <w:szCs w:val="21"/>
          <w:highlight w:val="none"/>
        </w:rPr>
      </w:pPr>
      <w:r>
        <w:rPr>
          <w:rFonts w:ascii="Wingdings" w:hAnsi="Wingdings"/>
          <w:color w:val="auto"/>
          <w:sz w:val="21"/>
          <w:szCs w:val="21"/>
          <w:highlight w:val="none"/>
        </w:rPr>
        <w:t></w:t>
      </w:r>
      <w:r>
        <w:rPr>
          <w:rFonts w:hint="eastAsia" w:ascii="宋体" w:hAnsi="宋体"/>
          <w:bCs/>
          <w:color w:val="auto"/>
          <w:sz w:val="21"/>
          <w:szCs w:val="21"/>
          <w:highlight w:val="none"/>
        </w:rPr>
        <w:t>装置至少提供2路RS485通讯，并可完成规约转换，以便接入其它智能装置；</w:t>
      </w:r>
    </w:p>
    <w:p>
      <w:pPr>
        <w:numPr>
          <w:ilvl w:val="255"/>
          <w:numId w:val="0"/>
        </w:numPr>
        <w:tabs>
          <w:tab w:val="left" w:pos="945"/>
        </w:tabs>
        <w:ind w:firstLine="420" w:firstLineChars="200"/>
        <w:textAlignment w:val="center"/>
        <w:rPr>
          <w:rFonts w:ascii="宋体" w:hAnsi="宋体"/>
          <w:bCs/>
          <w:color w:val="auto"/>
          <w:sz w:val="21"/>
          <w:szCs w:val="21"/>
          <w:highlight w:val="none"/>
        </w:rPr>
      </w:pPr>
      <w:r>
        <w:rPr>
          <w:rFonts w:ascii="Wingdings" w:hAnsi="Wingdings"/>
          <w:color w:val="auto"/>
          <w:sz w:val="21"/>
          <w:szCs w:val="21"/>
          <w:highlight w:val="none"/>
        </w:rPr>
        <w:t></w:t>
      </w:r>
      <w:r>
        <w:rPr>
          <w:rFonts w:hint="eastAsia" w:ascii="宋体" w:hAnsi="宋体"/>
          <w:bCs/>
          <w:color w:val="auto"/>
          <w:sz w:val="21"/>
          <w:szCs w:val="21"/>
          <w:highlight w:val="none"/>
        </w:rPr>
        <w:t>装置应具有GPS对时功能，对时误差&lt;1ms，采用秒脉冲和通信对时相结合方式；</w:t>
      </w:r>
    </w:p>
    <w:p>
      <w:pPr>
        <w:tabs>
          <w:tab w:val="left" w:pos="945"/>
        </w:tabs>
        <w:ind w:firstLine="420" w:firstLineChars="200"/>
        <w:textAlignment w:val="center"/>
        <w:rPr>
          <w:rFonts w:ascii="宋体" w:hAnsi="宋体"/>
          <w:bCs/>
          <w:color w:val="auto"/>
          <w:sz w:val="21"/>
          <w:szCs w:val="21"/>
          <w:highlight w:val="none"/>
        </w:rPr>
      </w:pPr>
      <w:r>
        <w:rPr>
          <w:rFonts w:ascii="Wingdings" w:hAnsi="Wingdings"/>
          <w:color w:val="auto"/>
          <w:sz w:val="21"/>
          <w:szCs w:val="21"/>
          <w:highlight w:val="none"/>
        </w:rPr>
        <w:t></w:t>
      </w:r>
      <w:r>
        <w:rPr>
          <w:rFonts w:hint="eastAsia" w:ascii="宋体" w:hAnsi="宋体"/>
          <w:bCs/>
          <w:color w:val="auto"/>
          <w:sz w:val="21"/>
          <w:szCs w:val="21"/>
          <w:highlight w:val="none"/>
        </w:rPr>
        <w:t>包括显示、电源、CPU、IO板、通讯板在内的装置全部元器件必须满足宽温-40℃～+70℃条件下装置可保证正常工作的要求，以满足光伏区域特殊环境；</w:t>
      </w:r>
    </w:p>
    <w:p>
      <w:pPr>
        <w:tabs>
          <w:tab w:val="left" w:pos="945"/>
        </w:tabs>
        <w:ind w:firstLine="420" w:firstLineChars="200"/>
        <w:textAlignment w:val="center"/>
        <w:rPr>
          <w:rFonts w:ascii="宋体" w:hAnsi="宋体"/>
          <w:bCs/>
          <w:color w:val="auto"/>
          <w:sz w:val="21"/>
          <w:szCs w:val="21"/>
          <w:highlight w:val="none"/>
        </w:rPr>
      </w:pPr>
      <w:r>
        <w:rPr>
          <w:rFonts w:ascii="Wingdings" w:hAnsi="Wingdings"/>
          <w:color w:val="auto"/>
          <w:sz w:val="21"/>
          <w:szCs w:val="21"/>
          <w:highlight w:val="none"/>
        </w:rPr>
        <w:t></w:t>
      </w:r>
      <w:r>
        <w:rPr>
          <w:rFonts w:hint="eastAsia" w:ascii="宋体" w:hAnsi="宋体"/>
          <w:bCs/>
          <w:color w:val="auto"/>
          <w:sz w:val="21"/>
          <w:szCs w:val="21"/>
          <w:highlight w:val="none"/>
        </w:rPr>
        <w:t>装置的软件操作均能在装置面板的菜单上进行，具有当地/远方软件操作的切换功能及口令管理。</w:t>
      </w:r>
    </w:p>
    <w:p>
      <w:pPr>
        <w:numPr>
          <w:ilvl w:val="0"/>
          <w:numId w:val="5"/>
        </w:numPr>
        <w:tabs>
          <w:tab w:val="left" w:pos="945"/>
        </w:tabs>
        <w:textAlignment w:val="center"/>
        <w:rPr>
          <w:rFonts w:ascii="宋体" w:hAnsi="宋体"/>
          <w:bCs/>
          <w:color w:val="auto"/>
          <w:sz w:val="21"/>
          <w:szCs w:val="21"/>
          <w:highlight w:val="none"/>
        </w:rPr>
      </w:pPr>
      <w:r>
        <w:rPr>
          <w:rFonts w:hint="eastAsia" w:ascii="宋体" w:hAnsi="宋体"/>
          <w:bCs/>
          <w:color w:val="auto"/>
          <w:sz w:val="21"/>
          <w:szCs w:val="21"/>
          <w:highlight w:val="none"/>
        </w:rPr>
        <w:t>通信</w:t>
      </w:r>
      <w:r>
        <w:rPr>
          <w:rFonts w:ascii="宋体" w:hAnsi="宋体"/>
          <w:bCs/>
          <w:color w:val="auto"/>
          <w:sz w:val="21"/>
          <w:szCs w:val="21"/>
          <w:highlight w:val="none"/>
        </w:rPr>
        <w:t>管理功能</w:t>
      </w:r>
    </w:p>
    <w:p>
      <w:pPr>
        <w:tabs>
          <w:tab w:val="left" w:pos="945"/>
        </w:tabs>
        <w:ind w:left="420" w:firstLine="420" w:firstLineChars="200"/>
        <w:textAlignment w:val="center"/>
        <w:rPr>
          <w:rFonts w:ascii="宋体" w:hAnsi="宋体"/>
          <w:bCs/>
          <w:color w:val="auto"/>
          <w:sz w:val="21"/>
          <w:szCs w:val="21"/>
          <w:highlight w:val="none"/>
        </w:rPr>
      </w:pPr>
      <w:r>
        <w:rPr>
          <w:rFonts w:hint="eastAsia" w:ascii="宋体" w:hAnsi="宋体"/>
          <w:bCs/>
          <w:color w:val="auto"/>
          <w:sz w:val="21"/>
          <w:szCs w:val="21"/>
          <w:highlight w:val="none"/>
        </w:rPr>
        <w:t>智能</w:t>
      </w:r>
      <w:r>
        <w:rPr>
          <w:rFonts w:ascii="宋体" w:hAnsi="宋体"/>
          <w:bCs/>
          <w:color w:val="auto"/>
          <w:sz w:val="21"/>
          <w:szCs w:val="21"/>
          <w:highlight w:val="none"/>
        </w:rPr>
        <w:t>一体化装置能够</w:t>
      </w:r>
      <w:r>
        <w:rPr>
          <w:rFonts w:hint="eastAsia" w:ascii="宋体" w:hAnsi="宋体"/>
          <w:bCs/>
          <w:color w:val="auto"/>
          <w:sz w:val="21"/>
          <w:szCs w:val="21"/>
          <w:highlight w:val="none"/>
        </w:rPr>
        <w:t>通过</w:t>
      </w:r>
      <w:r>
        <w:rPr>
          <w:rFonts w:ascii="宋体" w:hAnsi="宋体"/>
          <w:bCs/>
          <w:color w:val="auto"/>
          <w:sz w:val="21"/>
          <w:szCs w:val="21"/>
          <w:highlight w:val="none"/>
        </w:rPr>
        <w:t>串口或网络的方式</w:t>
      </w:r>
      <w:r>
        <w:rPr>
          <w:rFonts w:hint="eastAsia" w:ascii="宋体" w:hAnsi="宋体"/>
          <w:bCs/>
          <w:color w:val="auto"/>
          <w:sz w:val="21"/>
          <w:szCs w:val="21"/>
          <w:highlight w:val="none"/>
        </w:rPr>
        <w:t>实现</w:t>
      </w:r>
      <w:r>
        <w:rPr>
          <w:rFonts w:ascii="宋体" w:hAnsi="宋体"/>
          <w:bCs/>
          <w:color w:val="auto"/>
          <w:sz w:val="21"/>
          <w:szCs w:val="21"/>
          <w:highlight w:val="none"/>
        </w:rPr>
        <w:t>对下与逆变器等各式智能设备通讯，接收他们上送的信息，并完成规约转换，</w:t>
      </w:r>
      <w:r>
        <w:rPr>
          <w:rFonts w:hint="eastAsia" w:ascii="宋体" w:hAnsi="宋体"/>
          <w:bCs/>
          <w:color w:val="auto"/>
          <w:sz w:val="21"/>
          <w:szCs w:val="21"/>
          <w:highlight w:val="none"/>
        </w:rPr>
        <w:t>对上</w:t>
      </w:r>
      <w:r>
        <w:rPr>
          <w:rFonts w:ascii="宋体" w:hAnsi="宋体"/>
          <w:bCs/>
          <w:color w:val="auto"/>
          <w:sz w:val="21"/>
          <w:szCs w:val="21"/>
          <w:highlight w:val="none"/>
        </w:rPr>
        <w:t>与</w:t>
      </w:r>
      <w:r>
        <w:rPr>
          <w:rFonts w:hint="eastAsia" w:ascii="宋体" w:hAnsi="宋体"/>
          <w:bCs/>
          <w:color w:val="auto"/>
          <w:sz w:val="21"/>
          <w:szCs w:val="21"/>
          <w:highlight w:val="none"/>
        </w:rPr>
        <w:t>监控</w:t>
      </w:r>
      <w:r>
        <w:rPr>
          <w:rFonts w:ascii="宋体" w:hAnsi="宋体"/>
          <w:bCs/>
          <w:color w:val="auto"/>
          <w:sz w:val="21"/>
          <w:szCs w:val="21"/>
          <w:highlight w:val="none"/>
        </w:rPr>
        <w:t>系统、远动装置、</w:t>
      </w:r>
      <w:r>
        <w:rPr>
          <w:rFonts w:hint="eastAsia" w:ascii="宋体" w:hAnsi="宋体"/>
          <w:bCs/>
          <w:color w:val="auto"/>
          <w:sz w:val="21"/>
          <w:szCs w:val="21"/>
          <w:highlight w:val="none"/>
        </w:rPr>
        <w:t>厂站AGC</w:t>
      </w:r>
      <w:r>
        <w:rPr>
          <w:rFonts w:ascii="宋体" w:hAnsi="宋体"/>
          <w:bCs/>
          <w:color w:val="auto"/>
          <w:sz w:val="21"/>
          <w:szCs w:val="21"/>
          <w:highlight w:val="none"/>
        </w:rPr>
        <w:t>/AVC</w:t>
      </w:r>
      <w:r>
        <w:rPr>
          <w:rFonts w:hint="eastAsia" w:ascii="宋体" w:hAnsi="宋体"/>
          <w:bCs/>
          <w:color w:val="auto"/>
          <w:sz w:val="21"/>
          <w:szCs w:val="21"/>
          <w:highlight w:val="none"/>
        </w:rPr>
        <w:t>系统</w:t>
      </w:r>
      <w:r>
        <w:rPr>
          <w:rFonts w:ascii="宋体" w:hAnsi="宋体"/>
          <w:bCs/>
          <w:color w:val="auto"/>
          <w:sz w:val="21"/>
          <w:szCs w:val="21"/>
          <w:highlight w:val="none"/>
        </w:rPr>
        <w:t>通信</w:t>
      </w:r>
      <w:r>
        <w:rPr>
          <w:rFonts w:hint="eastAsia" w:ascii="宋体" w:hAnsi="宋体"/>
          <w:bCs/>
          <w:color w:val="auto"/>
          <w:sz w:val="21"/>
          <w:szCs w:val="21"/>
          <w:highlight w:val="none"/>
        </w:rPr>
        <w:t>，最终</w:t>
      </w:r>
      <w:r>
        <w:rPr>
          <w:rFonts w:ascii="宋体" w:hAnsi="宋体"/>
          <w:bCs/>
          <w:color w:val="auto"/>
          <w:sz w:val="21"/>
          <w:szCs w:val="21"/>
          <w:highlight w:val="none"/>
        </w:rPr>
        <w:t>实现站控层和间隔层之间的数据交换。</w:t>
      </w:r>
    </w:p>
    <w:p>
      <w:pPr>
        <w:tabs>
          <w:tab w:val="left" w:pos="945"/>
        </w:tabs>
        <w:ind w:left="420" w:firstLine="420" w:firstLineChars="200"/>
        <w:textAlignment w:val="center"/>
        <w:rPr>
          <w:rFonts w:ascii="宋体" w:hAnsi="宋体"/>
          <w:bCs/>
          <w:color w:val="auto"/>
          <w:sz w:val="21"/>
          <w:szCs w:val="21"/>
          <w:highlight w:val="none"/>
        </w:rPr>
      </w:pPr>
      <w:r>
        <w:rPr>
          <w:rFonts w:hint="eastAsia" w:ascii="宋体" w:hAnsi="宋体"/>
          <w:bCs/>
          <w:color w:val="auto"/>
          <w:sz w:val="21"/>
          <w:szCs w:val="21"/>
          <w:highlight w:val="none"/>
        </w:rPr>
        <w:t>装置</w:t>
      </w:r>
      <w:r>
        <w:rPr>
          <w:rFonts w:ascii="宋体" w:hAnsi="宋体"/>
          <w:bCs/>
          <w:color w:val="auto"/>
          <w:sz w:val="21"/>
          <w:szCs w:val="21"/>
          <w:highlight w:val="none"/>
        </w:rPr>
        <w:t>应具有现地显示和操作功能，应支持多种通信接口和多种通信协议，</w:t>
      </w:r>
      <w:r>
        <w:rPr>
          <w:rFonts w:hint="eastAsia" w:ascii="宋体" w:hAnsi="宋体"/>
          <w:bCs/>
          <w:color w:val="auto"/>
          <w:sz w:val="21"/>
          <w:szCs w:val="21"/>
          <w:highlight w:val="none"/>
        </w:rPr>
        <w:t>提供的对上通信接口类型至少应有：以太网接口（双绞线或光纤）、</w:t>
      </w:r>
      <w:r>
        <w:rPr>
          <w:rFonts w:ascii="宋体" w:hAnsi="宋体"/>
          <w:bCs/>
          <w:color w:val="auto"/>
          <w:sz w:val="21"/>
          <w:szCs w:val="21"/>
          <w:highlight w:val="none"/>
        </w:rPr>
        <w:t xml:space="preserve">RS485 </w:t>
      </w:r>
      <w:r>
        <w:rPr>
          <w:rFonts w:hint="eastAsia" w:ascii="宋体" w:hAnsi="宋体"/>
          <w:bCs/>
          <w:color w:val="auto"/>
          <w:sz w:val="21"/>
          <w:szCs w:val="21"/>
          <w:highlight w:val="none"/>
        </w:rPr>
        <w:t>串口。装置</w:t>
      </w:r>
      <w:r>
        <w:rPr>
          <w:rFonts w:ascii="宋体" w:hAnsi="宋体"/>
          <w:bCs/>
          <w:color w:val="auto"/>
          <w:sz w:val="21"/>
          <w:szCs w:val="21"/>
          <w:highlight w:val="none"/>
        </w:rPr>
        <w:t>通讯规约采用标准的</w:t>
      </w:r>
      <w:r>
        <w:rPr>
          <w:rFonts w:hint="eastAsia" w:ascii="宋体" w:hAnsi="宋体"/>
          <w:color w:val="auto"/>
          <w:sz w:val="21"/>
          <w:szCs w:val="21"/>
          <w:highlight w:val="none"/>
        </w:rPr>
        <w:t>IEC60870-5-103/104、IEC61850或MODBUS规约，</w:t>
      </w:r>
      <w:r>
        <w:rPr>
          <w:rFonts w:ascii="宋体" w:hAnsi="宋体"/>
          <w:color w:val="auto"/>
          <w:sz w:val="21"/>
          <w:szCs w:val="21"/>
          <w:highlight w:val="none"/>
        </w:rPr>
        <w:t>可方便地与</w:t>
      </w:r>
      <w:r>
        <w:rPr>
          <w:rFonts w:hint="eastAsia" w:ascii="宋体" w:hAnsi="宋体"/>
          <w:color w:val="auto"/>
          <w:sz w:val="21"/>
          <w:szCs w:val="21"/>
          <w:highlight w:val="none"/>
        </w:rPr>
        <w:t>各</w:t>
      </w:r>
      <w:r>
        <w:rPr>
          <w:rFonts w:ascii="宋体" w:hAnsi="宋体"/>
          <w:color w:val="auto"/>
          <w:sz w:val="21"/>
          <w:szCs w:val="21"/>
          <w:highlight w:val="none"/>
        </w:rPr>
        <w:t>厂家的</w:t>
      </w:r>
      <w:r>
        <w:rPr>
          <w:rFonts w:hint="eastAsia" w:ascii="宋体" w:hAnsi="宋体"/>
          <w:color w:val="auto"/>
          <w:sz w:val="21"/>
          <w:szCs w:val="21"/>
          <w:highlight w:val="none"/>
        </w:rPr>
        <w:t>开关站</w:t>
      </w:r>
      <w:r>
        <w:rPr>
          <w:rFonts w:ascii="宋体" w:hAnsi="宋体"/>
          <w:color w:val="auto"/>
          <w:sz w:val="21"/>
          <w:szCs w:val="21"/>
          <w:highlight w:val="none"/>
        </w:rPr>
        <w:t>监控系统接入</w:t>
      </w:r>
      <w:r>
        <w:rPr>
          <w:rFonts w:hint="eastAsia" w:ascii="宋体" w:hAnsi="宋体"/>
          <w:color w:val="auto"/>
          <w:sz w:val="21"/>
          <w:szCs w:val="21"/>
          <w:highlight w:val="none"/>
        </w:rPr>
        <w:t>,并满足远动</w:t>
      </w:r>
      <w:r>
        <w:rPr>
          <w:rFonts w:ascii="宋体" w:hAnsi="宋体"/>
          <w:color w:val="auto"/>
          <w:sz w:val="21"/>
          <w:szCs w:val="21"/>
          <w:highlight w:val="none"/>
        </w:rPr>
        <w:t>需求。</w:t>
      </w:r>
      <w:r>
        <w:rPr>
          <w:rFonts w:hint="eastAsia" w:ascii="宋体" w:hAnsi="宋体"/>
          <w:bCs/>
          <w:color w:val="auto"/>
          <w:sz w:val="21"/>
          <w:szCs w:val="21"/>
          <w:highlight w:val="none"/>
        </w:rPr>
        <w:t>提供的对下通信接口类型至少应有</w:t>
      </w:r>
      <w:r>
        <w:rPr>
          <w:rFonts w:ascii="宋体" w:hAnsi="宋体"/>
          <w:bCs/>
          <w:color w:val="auto"/>
          <w:sz w:val="21"/>
          <w:szCs w:val="21"/>
          <w:highlight w:val="none"/>
        </w:rPr>
        <w:t>RS232/RS485/RS422</w:t>
      </w:r>
      <w:r>
        <w:rPr>
          <w:rFonts w:hint="eastAsia" w:ascii="宋体" w:hAnsi="宋体"/>
          <w:bCs/>
          <w:color w:val="auto"/>
          <w:sz w:val="21"/>
          <w:szCs w:val="21"/>
          <w:highlight w:val="none"/>
        </w:rPr>
        <w:t>（双绞线或光纤）、以太网（双绞线或光纤）通信，至少提供4</w:t>
      </w:r>
      <w:r>
        <w:rPr>
          <w:rFonts w:ascii="宋体" w:hAnsi="宋体"/>
          <w:bCs/>
          <w:color w:val="auto"/>
          <w:sz w:val="21"/>
          <w:szCs w:val="21"/>
          <w:highlight w:val="none"/>
        </w:rPr>
        <w:t xml:space="preserve"> </w:t>
      </w:r>
      <w:r>
        <w:rPr>
          <w:rFonts w:hint="eastAsia" w:ascii="宋体" w:hAnsi="宋体"/>
          <w:bCs/>
          <w:color w:val="auto"/>
          <w:sz w:val="21"/>
          <w:szCs w:val="21"/>
          <w:highlight w:val="none"/>
        </w:rPr>
        <w:t>个以太网（双绞线或光纤）、</w:t>
      </w:r>
      <w:r>
        <w:rPr>
          <w:rFonts w:ascii="宋体" w:hAnsi="宋体"/>
          <w:bCs/>
          <w:color w:val="auto"/>
          <w:sz w:val="21"/>
          <w:szCs w:val="21"/>
          <w:highlight w:val="none"/>
        </w:rPr>
        <w:t xml:space="preserve">12 </w:t>
      </w:r>
      <w:r>
        <w:rPr>
          <w:rFonts w:hint="eastAsia" w:ascii="宋体" w:hAnsi="宋体"/>
          <w:bCs/>
          <w:color w:val="auto"/>
          <w:sz w:val="21"/>
          <w:szCs w:val="21"/>
          <w:highlight w:val="none"/>
        </w:rPr>
        <w:t>个串行双绞线（或者光纤）接口。根据协议的复杂程度，可以同时挂接</w:t>
      </w:r>
      <w:r>
        <w:rPr>
          <w:rFonts w:ascii="宋体" w:hAnsi="宋体"/>
          <w:bCs/>
          <w:color w:val="auto"/>
          <w:sz w:val="21"/>
          <w:szCs w:val="21"/>
          <w:highlight w:val="none"/>
        </w:rPr>
        <w:t>11</w:t>
      </w:r>
      <w:r>
        <w:rPr>
          <w:rFonts w:hint="eastAsia" w:ascii="宋体" w:hAnsi="宋体"/>
          <w:bCs/>
          <w:color w:val="auto"/>
          <w:sz w:val="21"/>
          <w:szCs w:val="21"/>
          <w:highlight w:val="none"/>
        </w:rPr>
        <w:t>种以上的协议，通信</w:t>
      </w:r>
      <w:r>
        <w:rPr>
          <w:rFonts w:ascii="宋体" w:hAnsi="宋体"/>
          <w:bCs/>
          <w:color w:val="auto"/>
          <w:sz w:val="21"/>
          <w:szCs w:val="21"/>
          <w:highlight w:val="none"/>
        </w:rPr>
        <w:t>协议类型至少包括</w:t>
      </w:r>
      <w:r>
        <w:rPr>
          <w:rFonts w:ascii="宋体" w:hAnsi="宋体"/>
          <w:color w:val="auto"/>
          <w:sz w:val="21"/>
          <w:szCs w:val="21"/>
          <w:highlight w:val="none"/>
        </w:rPr>
        <w:t>IEC60870-5-101</w:t>
      </w:r>
      <w:r>
        <w:rPr>
          <w:rFonts w:hint="eastAsia" w:ascii="宋体" w:hAnsi="宋体"/>
          <w:color w:val="auto"/>
          <w:sz w:val="21"/>
          <w:szCs w:val="21"/>
          <w:highlight w:val="none"/>
        </w:rPr>
        <w:t>/103/104，IEC61850、CDT、modbus等</w:t>
      </w:r>
      <w:r>
        <w:rPr>
          <w:rFonts w:ascii="宋体" w:hAnsi="宋体"/>
          <w:color w:val="auto"/>
          <w:sz w:val="21"/>
          <w:szCs w:val="21"/>
          <w:highlight w:val="none"/>
        </w:rPr>
        <w:t>通信规约</w:t>
      </w:r>
      <w:r>
        <w:rPr>
          <w:rFonts w:hint="eastAsia" w:ascii="宋体" w:hAnsi="宋体"/>
          <w:color w:val="auto"/>
          <w:sz w:val="21"/>
          <w:szCs w:val="21"/>
          <w:highlight w:val="none"/>
        </w:rPr>
        <w:t>。</w:t>
      </w:r>
    </w:p>
    <w:p>
      <w:pPr>
        <w:tabs>
          <w:tab w:val="left" w:pos="1080"/>
        </w:tabs>
        <w:overflowPunct w:val="0"/>
        <w:snapToGrid w:val="0"/>
        <w:ind w:firstLine="506" w:firstLineChars="240"/>
        <w:rPr>
          <w:rFonts w:ascii="宋体" w:hAnsi="宋体"/>
          <w:b/>
          <w:color w:val="auto"/>
          <w:sz w:val="21"/>
          <w:szCs w:val="21"/>
          <w:highlight w:val="none"/>
        </w:rPr>
      </w:pPr>
      <w:r>
        <w:rPr>
          <w:rFonts w:hint="eastAsia" w:ascii="宋体" w:hAnsi="宋体"/>
          <w:b/>
          <w:color w:val="auto"/>
          <w:sz w:val="21"/>
          <w:szCs w:val="21"/>
          <w:highlight w:val="none"/>
        </w:rPr>
        <w:t>智能一体化装置</w:t>
      </w:r>
      <w:r>
        <w:rPr>
          <w:rFonts w:ascii="宋体" w:hAnsi="宋体"/>
          <w:b/>
          <w:color w:val="auto"/>
          <w:sz w:val="21"/>
          <w:szCs w:val="21"/>
          <w:highlight w:val="none"/>
        </w:rPr>
        <w:t>由箱变厂家成套提供。</w:t>
      </w:r>
      <w:r>
        <w:rPr>
          <w:rFonts w:hint="eastAsia" w:ascii="宋体" w:hAnsi="宋体"/>
          <w:b/>
          <w:color w:val="auto"/>
          <w:sz w:val="21"/>
          <w:szCs w:val="21"/>
          <w:highlight w:val="none"/>
        </w:rPr>
        <w:t>站级监控系统实现对箱变、逆变器等光伏区设备的监控。</w:t>
      </w:r>
    </w:p>
    <w:p>
      <w:pPr>
        <w:tabs>
          <w:tab w:val="left" w:pos="1080"/>
        </w:tabs>
        <w:overflowPunct w:val="0"/>
        <w:snapToGrid w:val="0"/>
        <w:ind w:firstLine="506" w:firstLineChars="240"/>
        <w:rPr>
          <w:rFonts w:ascii="宋体" w:hAnsi="宋体"/>
          <w:b/>
          <w:color w:val="auto"/>
          <w:sz w:val="21"/>
          <w:szCs w:val="21"/>
          <w:highlight w:val="none"/>
        </w:rPr>
      </w:pPr>
      <w:r>
        <w:rPr>
          <w:rFonts w:hint="eastAsia" w:ascii="宋体" w:hAnsi="宋体"/>
          <w:b/>
          <w:color w:val="auto"/>
          <w:sz w:val="21"/>
          <w:szCs w:val="21"/>
          <w:highlight w:val="none"/>
        </w:rPr>
        <w:t>各</w:t>
      </w:r>
      <w:r>
        <w:rPr>
          <w:rFonts w:ascii="宋体" w:hAnsi="宋体"/>
          <w:b/>
          <w:color w:val="auto"/>
          <w:sz w:val="21"/>
          <w:szCs w:val="21"/>
          <w:highlight w:val="none"/>
        </w:rPr>
        <w:t>光伏</w:t>
      </w:r>
      <w:r>
        <w:rPr>
          <w:rFonts w:hint="eastAsia" w:ascii="宋体" w:hAnsi="宋体"/>
          <w:b/>
          <w:color w:val="auto"/>
          <w:sz w:val="21"/>
          <w:szCs w:val="21"/>
          <w:highlight w:val="none"/>
        </w:rPr>
        <w:t>方</w:t>
      </w:r>
      <w:r>
        <w:rPr>
          <w:rFonts w:ascii="宋体" w:hAnsi="宋体"/>
          <w:b/>
          <w:color w:val="auto"/>
          <w:sz w:val="21"/>
          <w:szCs w:val="21"/>
          <w:highlight w:val="none"/>
        </w:rPr>
        <w:t>阵的光纤环网交换机</w:t>
      </w:r>
      <w:r>
        <w:rPr>
          <w:rFonts w:hint="eastAsia" w:ascii="宋体" w:hAnsi="宋体"/>
          <w:b/>
          <w:color w:val="auto"/>
          <w:sz w:val="21"/>
          <w:szCs w:val="21"/>
          <w:highlight w:val="none"/>
        </w:rPr>
        <w:t>、光纤接线盒等设备由</w:t>
      </w:r>
      <w:r>
        <w:rPr>
          <w:rFonts w:ascii="宋体" w:hAnsi="宋体"/>
          <w:b/>
          <w:color w:val="auto"/>
          <w:sz w:val="21"/>
          <w:szCs w:val="21"/>
          <w:highlight w:val="none"/>
        </w:rPr>
        <w:t>箱变厂家成套</w:t>
      </w:r>
      <w:r>
        <w:rPr>
          <w:rFonts w:hint="eastAsia" w:ascii="宋体" w:hAnsi="宋体"/>
          <w:b/>
          <w:color w:val="auto"/>
          <w:sz w:val="21"/>
          <w:szCs w:val="21"/>
          <w:highlight w:val="none"/>
        </w:rPr>
        <w:t>提供，安装于箱变内。</w:t>
      </w:r>
    </w:p>
    <w:p>
      <w:pPr>
        <w:pStyle w:val="2"/>
        <w:ind w:left="0" w:leftChars="0" w:firstLine="0" w:firstLineChars="0"/>
        <w:rPr>
          <w:rFonts w:ascii="宋体" w:hAnsi="宋体"/>
          <w:b/>
          <w:color w:val="auto"/>
          <w:sz w:val="21"/>
          <w:szCs w:val="21"/>
          <w:highlight w:val="none"/>
        </w:rPr>
      </w:pPr>
      <w:r>
        <w:rPr>
          <w:rFonts w:hint="eastAsia" w:ascii="宋体" w:hAnsi="宋体"/>
          <w:bCs/>
          <w:color w:val="auto"/>
          <w:sz w:val="21"/>
          <w:szCs w:val="21"/>
          <w:highlight w:val="none"/>
        </w:rPr>
        <w:t>（四</w:t>
      </w:r>
      <w:r>
        <w:rPr>
          <w:rFonts w:ascii="宋体" w:hAnsi="宋体"/>
          <w:bCs/>
          <w:color w:val="auto"/>
          <w:sz w:val="21"/>
          <w:szCs w:val="21"/>
          <w:highlight w:val="none"/>
        </w:rPr>
        <w:t>）</w:t>
      </w:r>
      <w:r>
        <w:rPr>
          <w:rFonts w:hint="eastAsia" w:ascii="宋体" w:hAnsi="宋体"/>
          <w:bCs/>
          <w:color w:val="auto"/>
          <w:sz w:val="21"/>
          <w:szCs w:val="21"/>
          <w:highlight w:val="none"/>
        </w:rPr>
        <w:t>网络安全设备</w:t>
      </w:r>
    </w:p>
    <w:p>
      <w:pPr>
        <w:tabs>
          <w:tab w:val="left" w:pos="945"/>
        </w:tabs>
        <w:ind w:firstLine="420" w:firstLineChars="200"/>
        <w:textAlignment w:val="center"/>
        <w:rPr>
          <w:rFonts w:ascii="宋体" w:hAnsi="宋体"/>
          <w:bCs/>
          <w:color w:val="auto"/>
          <w:sz w:val="21"/>
          <w:szCs w:val="21"/>
          <w:highlight w:val="none"/>
        </w:rPr>
      </w:pPr>
      <w:r>
        <w:rPr>
          <w:rFonts w:hint="eastAsia" w:ascii="宋体" w:hAnsi="宋体"/>
          <w:bCs/>
          <w:color w:val="auto"/>
          <w:sz w:val="21"/>
          <w:szCs w:val="21"/>
          <w:highlight w:val="none"/>
        </w:rPr>
        <w:t>网络安全设备主要包括防火墙及纵向加密装置。在站控管理系统与升压站计算机监控系统网络通信配置防火墙。新能源场站须加强户外就地采集终端（如风机控制终端、 光伏发电单元测控终端等）的物理防护， 强化就地采集终端的通信安全。站控管理系统与终端之间网络通信部署加密认证装置，实现身份认证、数据加密、访问控制等安全措施。站控侧部署千兆纵向加密装置，装置数量应和</w:t>
      </w:r>
      <w:r>
        <w:rPr>
          <w:rFonts w:hint="eastAsia" w:ascii="宋体" w:hAnsi="宋体"/>
          <w:color w:val="auto"/>
          <w:sz w:val="21"/>
          <w:szCs w:val="21"/>
          <w:highlight w:val="none"/>
        </w:rPr>
        <w:t>多光口管理型中央环网交换机数量相匹配</w:t>
      </w:r>
      <w:r>
        <w:rPr>
          <w:rFonts w:hint="eastAsia" w:ascii="宋体" w:hAnsi="宋体"/>
          <w:bCs/>
          <w:color w:val="auto"/>
          <w:sz w:val="21"/>
          <w:szCs w:val="21"/>
          <w:highlight w:val="none"/>
        </w:rPr>
        <w:t>。</w:t>
      </w:r>
    </w:p>
    <w:p>
      <w:pPr>
        <w:tabs>
          <w:tab w:val="left" w:pos="945"/>
        </w:tabs>
        <w:ind w:firstLine="422" w:firstLineChars="200"/>
        <w:textAlignment w:val="center"/>
        <w:rPr>
          <w:rFonts w:ascii="宋体" w:hAnsi="宋体"/>
          <w:b/>
          <w:color w:val="auto"/>
          <w:sz w:val="21"/>
          <w:szCs w:val="21"/>
          <w:highlight w:val="none"/>
        </w:rPr>
      </w:pPr>
      <w:r>
        <w:rPr>
          <w:rFonts w:hint="eastAsia" w:ascii="宋体" w:hAnsi="宋体"/>
          <w:b/>
          <w:color w:val="auto"/>
          <w:sz w:val="21"/>
          <w:szCs w:val="21"/>
          <w:highlight w:val="none"/>
        </w:rPr>
        <w:t>每个光伏方阵部署微型纵向加密装置，此设备由</w:t>
      </w:r>
      <w:r>
        <w:rPr>
          <w:rFonts w:ascii="宋体" w:hAnsi="宋体"/>
          <w:b/>
          <w:color w:val="auto"/>
          <w:sz w:val="21"/>
          <w:szCs w:val="21"/>
          <w:highlight w:val="none"/>
        </w:rPr>
        <w:t>箱变厂家成套</w:t>
      </w:r>
      <w:r>
        <w:rPr>
          <w:rFonts w:hint="eastAsia" w:ascii="宋体" w:hAnsi="宋体"/>
          <w:b/>
          <w:color w:val="auto"/>
          <w:sz w:val="21"/>
          <w:szCs w:val="21"/>
          <w:highlight w:val="none"/>
        </w:rPr>
        <w:t xml:space="preserve">提供，安装于箱变内。 </w:t>
      </w:r>
    </w:p>
    <w:p>
      <w:pPr>
        <w:tabs>
          <w:tab w:val="left" w:pos="2700"/>
        </w:tabs>
        <w:textAlignment w:val="center"/>
        <w:rPr>
          <w:rFonts w:ascii="宋体" w:hAnsi="宋体"/>
          <w:color w:val="auto"/>
          <w:sz w:val="21"/>
          <w:szCs w:val="21"/>
          <w:highlight w:val="none"/>
        </w:rPr>
      </w:pPr>
      <w:r>
        <w:rPr>
          <w:rFonts w:hint="eastAsia" w:ascii="宋体" w:hAnsi="宋体"/>
          <w:color w:val="auto"/>
          <w:sz w:val="21"/>
          <w:szCs w:val="21"/>
          <w:highlight w:val="none"/>
        </w:rPr>
        <w:t>1.4.8.2 站控管理</w:t>
      </w:r>
      <w:r>
        <w:rPr>
          <w:rFonts w:ascii="宋体" w:hAnsi="宋体"/>
          <w:color w:val="auto"/>
          <w:sz w:val="21"/>
          <w:szCs w:val="21"/>
          <w:highlight w:val="none"/>
        </w:rPr>
        <w:t>系统网络结构</w:t>
      </w:r>
    </w:p>
    <w:p>
      <w:pPr>
        <w:tabs>
          <w:tab w:val="left" w:pos="2700"/>
        </w:tabs>
        <w:ind w:firstLine="420" w:firstLineChars="200"/>
        <w:textAlignment w:val="center"/>
        <w:rPr>
          <w:rFonts w:ascii="宋体" w:hAnsi="宋体"/>
          <w:color w:val="auto"/>
          <w:sz w:val="21"/>
          <w:szCs w:val="21"/>
          <w:highlight w:val="none"/>
        </w:rPr>
      </w:pPr>
      <w:r>
        <w:rPr>
          <w:rFonts w:ascii="宋体" w:hAnsi="宋体"/>
          <w:color w:val="auto"/>
          <w:sz w:val="21"/>
          <w:szCs w:val="21"/>
          <w:highlight w:val="none"/>
        </w:rPr>
        <w:t>系统采用分层分布式结构，</w:t>
      </w:r>
      <w:r>
        <w:rPr>
          <w:rFonts w:hint="eastAsia" w:ascii="宋体" w:hAnsi="宋体"/>
          <w:color w:val="auto"/>
          <w:sz w:val="21"/>
          <w:szCs w:val="21"/>
          <w:highlight w:val="none"/>
        </w:rPr>
        <w:t>光伏</w:t>
      </w:r>
      <w:r>
        <w:rPr>
          <w:rFonts w:ascii="宋体" w:hAnsi="宋体"/>
          <w:color w:val="auto"/>
          <w:sz w:val="21"/>
          <w:szCs w:val="21"/>
          <w:highlight w:val="none"/>
        </w:rPr>
        <w:t>电站集控层采用</w:t>
      </w:r>
      <w:r>
        <w:rPr>
          <w:rFonts w:hint="eastAsia" w:ascii="宋体" w:hAnsi="宋体"/>
          <w:color w:val="auto"/>
          <w:sz w:val="21"/>
          <w:szCs w:val="21"/>
          <w:highlight w:val="none"/>
        </w:rPr>
        <w:t>星型以太网</w:t>
      </w:r>
      <w:r>
        <w:rPr>
          <w:rFonts w:ascii="宋体" w:hAnsi="宋体"/>
          <w:color w:val="auto"/>
          <w:sz w:val="21"/>
          <w:szCs w:val="21"/>
          <w:highlight w:val="none"/>
        </w:rPr>
        <w:t>结构，光伏电站</w:t>
      </w:r>
      <w:r>
        <w:rPr>
          <w:rFonts w:hint="eastAsia" w:ascii="宋体" w:hAnsi="宋体"/>
          <w:color w:val="auto"/>
          <w:sz w:val="21"/>
          <w:szCs w:val="21"/>
          <w:highlight w:val="none"/>
        </w:rPr>
        <w:t>现地</w:t>
      </w:r>
      <w:r>
        <w:rPr>
          <w:rFonts w:ascii="宋体" w:hAnsi="宋体"/>
          <w:color w:val="auto"/>
          <w:sz w:val="21"/>
          <w:szCs w:val="21"/>
          <w:highlight w:val="none"/>
        </w:rPr>
        <w:t>间隔</w:t>
      </w:r>
      <w:r>
        <w:rPr>
          <w:rFonts w:hint="eastAsia" w:ascii="宋体" w:hAnsi="宋体"/>
          <w:color w:val="auto"/>
          <w:sz w:val="21"/>
          <w:szCs w:val="21"/>
          <w:highlight w:val="none"/>
        </w:rPr>
        <w:t>采用</w:t>
      </w:r>
      <w:r>
        <w:rPr>
          <w:rFonts w:ascii="宋体" w:hAnsi="宋体"/>
          <w:color w:val="auto"/>
          <w:sz w:val="21"/>
          <w:szCs w:val="21"/>
          <w:highlight w:val="none"/>
        </w:rPr>
        <w:t>光纤以太网环网结构与光伏电站集控层连接。</w:t>
      </w:r>
    </w:p>
    <w:p>
      <w:pPr>
        <w:tabs>
          <w:tab w:val="left" w:pos="945"/>
        </w:tabs>
        <w:textAlignment w:val="center"/>
        <w:rPr>
          <w:rFonts w:ascii="宋体" w:hAnsi="宋体"/>
          <w:color w:val="auto"/>
          <w:sz w:val="21"/>
          <w:szCs w:val="21"/>
          <w:highlight w:val="none"/>
        </w:rPr>
      </w:pPr>
      <w:r>
        <w:rPr>
          <w:rFonts w:hint="eastAsia" w:ascii="宋体" w:hAnsi="宋体"/>
          <w:color w:val="auto"/>
          <w:sz w:val="21"/>
          <w:szCs w:val="21"/>
          <w:highlight w:val="none"/>
        </w:rPr>
        <w:t>1.4.8.3 站控管理系统硬件要求</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站控管理系统应该用标准的、网络的、分布功能和系统化的开放式的硬件结构。计算机的存储和处理能力应满足本开关站的远景要求，但输入输出设备及I/O测控装置应满足本期工程要求，并考虑扩建需要。</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应该减少设备类型，即外围设备、微处理器、电气模块、输入输出接口等模块的类型和尺寸限制到最少，以减少扩建的麻烦和所需备件的费用。所有部件均应采取紧锁措施，抗振性能好，并且更换拆卸方便。</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I/O测控装置应是模块化的、标准化的、容易维护更换的、允许带电插拔的，任何一个模块故障检修时，应不影响其它模块的正常工作。所有I/O测控装置的部件在输入输出回路上都必须具有电气隔离措施。</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在站控层计算机故障停运时，间隔层系统能安全运行。一个元件故障不引起误动作，一个单元故障不影响其它单元。</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二次设备室或继电器室内设备之间的通信介质采用屏蔽双绞线通讯，需穿越室外电缆沟的通信媒介则采用光缆。光缆应有外保护层，能承受一定的机械应力。</w:t>
      </w:r>
    </w:p>
    <w:p>
      <w:pPr>
        <w:numPr>
          <w:ilvl w:val="255"/>
          <w:numId w:val="0"/>
        </w:numPr>
        <w:tabs>
          <w:tab w:val="left" w:pos="945"/>
        </w:tabs>
        <w:textAlignment w:val="center"/>
        <w:rPr>
          <w:rFonts w:ascii="宋体" w:hAnsi="宋体"/>
          <w:color w:val="auto"/>
          <w:sz w:val="21"/>
          <w:szCs w:val="21"/>
          <w:highlight w:val="none"/>
        </w:rPr>
      </w:pPr>
      <w:r>
        <w:rPr>
          <w:rFonts w:hint="eastAsia" w:ascii="宋体" w:hAnsi="宋体"/>
          <w:color w:val="auto"/>
          <w:sz w:val="21"/>
          <w:szCs w:val="21"/>
          <w:highlight w:val="none"/>
        </w:rPr>
        <w:t>1.4.8.4监控系统软件要求</w:t>
      </w:r>
    </w:p>
    <w:p>
      <w:pPr>
        <w:tabs>
          <w:tab w:val="left" w:pos="525"/>
        </w:tabs>
        <w:ind w:firstLine="420" w:firstLineChars="200"/>
        <w:rPr>
          <w:rFonts w:ascii="宋体" w:hAnsi="宋体"/>
          <w:color w:val="auto"/>
          <w:sz w:val="21"/>
          <w:szCs w:val="21"/>
          <w:highlight w:val="none"/>
        </w:rPr>
      </w:pPr>
      <w:r>
        <w:rPr>
          <w:rFonts w:hint="eastAsia" w:ascii="宋体" w:hAnsi="宋体"/>
          <w:color w:val="auto"/>
          <w:sz w:val="21"/>
          <w:szCs w:val="21"/>
          <w:highlight w:val="none"/>
        </w:rPr>
        <w:t>（1）监控系统应采用国际上流行的先进的、成熟稳定的、标准版本的工业软件，有软件许可，软件配置应满足开放式系统要求，由实时多任务操作系统软件、支持软件及监控应用软件组成，采用模块化结构，具有实时性、可靠性、适应性、可扩充性及可维护性。站控层主机兼操作员站应采用安全操作系统。如基于Unix或Linux的操作系统。所有</w:t>
      </w:r>
      <w:r>
        <w:rPr>
          <w:rFonts w:ascii="宋体" w:hAnsi="宋体"/>
          <w:color w:val="auto"/>
          <w:sz w:val="21"/>
          <w:szCs w:val="21"/>
          <w:highlight w:val="none"/>
        </w:rPr>
        <w:t>操作系统应是正版软件。</w:t>
      </w:r>
    </w:p>
    <w:p>
      <w:pPr>
        <w:tabs>
          <w:tab w:val="left" w:pos="525"/>
        </w:tabs>
        <w:ind w:firstLine="420" w:firstLineChars="200"/>
        <w:rPr>
          <w:rFonts w:ascii="宋体" w:hAnsi="宋体"/>
          <w:color w:val="auto"/>
          <w:sz w:val="21"/>
          <w:szCs w:val="21"/>
          <w:highlight w:val="none"/>
        </w:rPr>
      </w:pPr>
      <w:r>
        <w:rPr>
          <w:rFonts w:hint="eastAsia" w:ascii="宋体" w:hAnsi="宋体"/>
          <w:color w:val="auto"/>
          <w:sz w:val="21"/>
          <w:szCs w:val="21"/>
          <w:highlight w:val="none"/>
        </w:rPr>
        <w:t>（2）应采用最新版本的完整的正版操作系统软件，它应包括操作系统生成包、编译系统、诊断系统和各种软件维护、开发工具。操作系统能防止数据文件丢失或损坏，支持系统生成及用户程序装入，支持虚拟存储，能有效管理多种外部设备。</w:t>
      </w:r>
    </w:p>
    <w:p>
      <w:pPr>
        <w:tabs>
          <w:tab w:val="left" w:pos="525"/>
        </w:tabs>
        <w:ind w:firstLine="420" w:firstLineChars="200"/>
        <w:rPr>
          <w:rFonts w:ascii="宋体" w:hAnsi="宋体"/>
          <w:color w:val="auto"/>
          <w:sz w:val="21"/>
          <w:szCs w:val="21"/>
          <w:highlight w:val="none"/>
        </w:rPr>
      </w:pPr>
      <w:r>
        <w:rPr>
          <w:rFonts w:hint="eastAsia" w:ascii="宋体" w:hAnsi="宋体"/>
          <w:color w:val="auto"/>
          <w:sz w:val="21"/>
          <w:szCs w:val="21"/>
          <w:highlight w:val="none"/>
        </w:rPr>
        <w:t>（3）数据库的规模应能满足监控系统基本功能所需的全部数据，并适合所需的各种数据类型，数据库的各种性能指标应能满足系统功能和性能指标的要求。数据库应用软件应具有实时性，能对数据库进行快速访问，对数据库的访问时间必须小于0.5ms；同时具有可维护性及可恢复性。对数据库的修改，应设置操作权限。</w:t>
      </w:r>
    </w:p>
    <w:p>
      <w:pPr>
        <w:tabs>
          <w:tab w:val="left" w:pos="525"/>
        </w:tabs>
        <w:ind w:firstLine="420" w:firstLineChars="200"/>
        <w:rPr>
          <w:rFonts w:ascii="宋体" w:hAnsi="宋体"/>
          <w:color w:val="auto"/>
          <w:sz w:val="21"/>
          <w:szCs w:val="21"/>
          <w:highlight w:val="none"/>
        </w:rPr>
      </w:pPr>
      <w:r>
        <w:rPr>
          <w:rFonts w:hint="eastAsia" w:ascii="宋体" w:hAnsi="宋体"/>
          <w:color w:val="auto"/>
          <w:sz w:val="21"/>
          <w:szCs w:val="21"/>
          <w:highlight w:val="none"/>
        </w:rPr>
        <w:t>（4）应采用系统组态软件用于画面编程，数据生成。应满足系统各项功能的要求，为用户提供交互式的、面向对象的、方便灵活的、易于掌握的、多样化的组态工具，应提供一些类似宏命令的编程手段和多种实用函数，以便扩展组态软件的功能。用户能很方便的对图形、曲线、报表、报文进行在线生成、修改。</w:t>
      </w:r>
    </w:p>
    <w:p>
      <w:pPr>
        <w:tabs>
          <w:tab w:val="left" w:pos="525"/>
        </w:tabs>
        <w:ind w:firstLine="420" w:firstLineChars="200"/>
        <w:rPr>
          <w:rFonts w:ascii="宋体" w:hAnsi="宋体"/>
          <w:color w:val="auto"/>
          <w:sz w:val="21"/>
          <w:szCs w:val="21"/>
          <w:highlight w:val="none"/>
        </w:rPr>
      </w:pPr>
      <w:r>
        <w:rPr>
          <w:rFonts w:hint="eastAsia" w:ascii="宋体" w:hAnsi="宋体"/>
          <w:color w:val="auto"/>
          <w:sz w:val="21"/>
          <w:szCs w:val="21"/>
          <w:highlight w:val="none"/>
        </w:rPr>
        <w:t>（5）应用软件应采用模块化结构，具有良好的实时响应速度和可扩充性。具有出错检测能力。当某个应用软件出错时，除有错误信息提示外，不允许影响其它软件的正常运行。应用程序和数据在结构上应互相独立。</w:t>
      </w:r>
    </w:p>
    <w:p>
      <w:pPr>
        <w:tabs>
          <w:tab w:val="left" w:pos="525"/>
        </w:tabs>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6）系统应采用带隔离的、可靠的、抗干扰能力强的网络结构。网络系统应采用成熟可靠软件，管理各个工作站和就地控制单元相互之间的数据通信，保证它们的有效传送、不丢失。支持双总线网络、自动监测网络总线和各个接点的工作状态，自动选择、协调各接点的工作和网络通信。网络传送协议采用TCP/IP网络协议，网络传输速率 </w:t>
      </w:r>
      <w:r>
        <w:rPr>
          <w:rFonts w:hint="eastAsia" w:ascii="宋体" w:hAnsi="宋体"/>
          <w:color w:val="auto"/>
          <w:sz w:val="21"/>
          <w:szCs w:val="21"/>
          <w:highlight w:val="none"/>
        </w:rPr>
        <w:sym w:font="Symbol" w:char="F0B3"/>
      </w:r>
      <w:r>
        <w:rPr>
          <w:rFonts w:hint="eastAsia" w:ascii="宋体" w:hAnsi="宋体"/>
          <w:color w:val="auto"/>
          <w:sz w:val="21"/>
          <w:szCs w:val="21"/>
          <w:highlight w:val="none"/>
        </w:rPr>
        <w:t xml:space="preserve"> 100Mb/s。监控系统应提供通信接口驱动软件，包括与站内各智能设备的通信接口软件及与各级调度中心的通信接口软件等。</w:t>
      </w:r>
    </w:p>
    <w:p>
      <w:pPr>
        <w:tabs>
          <w:tab w:val="left" w:pos="525"/>
        </w:tabs>
        <w:ind w:firstLine="420" w:firstLineChars="200"/>
        <w:rPr>
          <w:rFonts w:ascii="宋体" w:hAnsi="宋体"/>
          <w:color w:val="auto"/>
          <w:sz w:val="21"/>
          <w:szCs w:val="21"/>
          <w:highlight w:val="none"/>
        </w:rPr>
      </w:pPr>
      <w:r>
        <w:rPr>
          <w:rFonts w:hint="eastAsia" w:ascii="宋体" w:hAnsi="宋体"/>
          <w:color w:val="auto"/>
          <w:sz w:val="21"/>
          <w:szCs w:val="21"/>
          <w:highlight w:val="none"/>
        </w:rPr>
        <w:t>（7）当某种功能运行不正常时，不应影响其他功能的运行。</w:t>
      </w:r>
    </w:p>
    <w:p>
      <w:pPr>
        <w:outlineLvl w:val="3"/>
        <w:rPr>
          <w:rFonts w:ascii="宋体" w:hAnsi="宋体"/>
          <w:color w:val="auto"/>
          <w:sz w:val="21"/>
          <w:szCs w:val="21"/>
          <w:highlight w:val="none"/>
        </w:rPr>
      </w:pPr>
      <w:bookmarkStart w:id="492" w:name="_Toc180463582"/>
      <w:r>
        <w:rPr>
          <w:rFonts w:hint="eastAsia" w:ascii="宋体" w:hAnsi="宋体"/>
          <w:color w:val="auto"/>
          <w:sz w:val="21"/>
          <w:szCs w:val="21"/>
          <w:highlight w:val="none"/>
        </w:rPr>
        <w:t>1.4.9站控管理系统功能</w:t>
      </w:r>
      <w:bookmarkEnd w:id="492"/>
      <w:r>
        <w:rPr>
          <w:rFonts w:hint="eastAsia" w:ascii="宋体" w:hAnsi="宋体"/>
          <w:color w:val="auto"/>
          <w:sz w:val="21"/>
          <w:szCs w:val="21"/>
          <w:highlight w:val="none"/>
        </w:rPr>
        <w:t>要求</w:t>
      </w:r>
    </w:p>
    <w:p>
      <w:pPr>
        <w:ind w:firstLine="420" w:firstLineChars="200"/>
        <w:rPr>
          <w:color w:val="auto"/>
          <w:sz w:val="21"/>
          <w:szCs w:val="21"/>
          <w:highlight w:val="none"/>
        </w:rPr>
      </w:pPr>
      <w:r>
        <w:rPr>
          <w:rFonts w:hint="eastAsia"/>
          <w:color w:val="auto"/>
          <w:sz w:val="21"/>
          <w:szCs w:val="21"/>
          <w:highlight w:val="none"/>
        </w:rPr>
        <w:t>管理</w:t>
      </w:r>
      <w:r>
        <w:rPr>
          <w:color w:val="auto"/>
          <w:sz w:val="21"/>
          <w:szCs w:val="21"/>
          <w:highlight w:val="none"/>
        </w:rPr>
        <w:t>系统主要提供光伏电站光伏发电侧设备的实时监控和</w:t>
      </w:r>
      <w:r>
        <w:rPr>
          <w:rFonts w:hint="eastAsia"/>
          <w:color w:val="auto"/>
          <w:sz w:val="21"/>
          <w:szCs w:val="21"/>
          <w:highlight w:val="none"/>
        </w:rPr>
        <w:t>运维</w:t>
      </w:r>
      <w:r>
        <w:rPr>
          <w:color w:val="auto"/>
          <w:sz w:val="21"/>
          <w:szCs w:val="21"/>
          <w:highlight w:val="none"/>
        </w:rPr>
        <w:t>管理功能；</w:t>
      </w:r>
    </w:p>
    <w:p>
      <w:pPr>
        <w:ind w:firstLine="420" w:firstLineChars="200"/>
        <w:rPr>
          <w:color w:val="auto"/>
          <w:sz w:val="21"/>
          <w:szCs w:val="21"/>
          <w:highlight w:val="none"/>
        </w:rPr>
      </w:pPr>
      <w:r>
        <w:rPr>
          <w:color w:val="auto"/>
          <w:sz w:val="21"/>
          <w:szCs w:val="21"/>
          <w:highlight w:val="none"/>
        </w:rPr>
        <w:t>根据项目的规模、地形、组网的具体特点，监控系统</w:t>
      </w:r>
      <w:r>
        <w:rPr>
          <w:rFonts w:hint="eastAsia"/>
          <w:color w:val="auto"/>
          <w:sz w:val="21"/>
          <w:szCs w:val="21"/>
          <w:highlight w:val="none"/>
        </w:rPr>
        <w:t>服务端设备</w:t>
      </w:r>
      <w:r>
        <w:rPr>
          <w:color w:val="auto"/>
          <w:sz w:val="21"/>
          <w:szCs w:val="21"/>
          <w:highlight w:val="none"/>
        </w:rPr>
        <w:t>与光伏子阵之间采用光纤网络作为通信传输方式，监控系统</w:t>
      </w:r>
      <w:r>
        <w:rPr>
          <w:rFonts w:hint="eastAsia"/>
          <w:color w:val="auto"/>
          <w:sz w:val="21"/>
          <w:szCs w:val="21"/>
          <w:highlight w:val="none"/>
        </w:rPr>
        <w:t>服务端设备</w:t>
      </w:r>
      <w:r>
        <w:rPr>
          <w:color w:val="auto"/>
          <w:sz w:val="21"/>
          <w:szCs w:val="21"/>
          <w:highlight w:val="none"/>
        </w:rPr>
        <w:t>与</w:t>
      </w:r>
      <w:r>
        <w:rPr>
          <w:rFonts w:hint="eastAsia"/>
          <w:color w:val="auto"/>
          <w:sz w:val="21"/>
          <w:szCs w:val="21"/>
          <w:highlight w:val="none"/>
        </w:rPr>
        <w:t>集控室工作站</w:t>
      </w:r>
      <w:r>
        <w:rPr>
          <w:color w:val="auto"/>
          <w:sz w:val="21"/>
          <w:szCs w:val="21"/>
          <w:highlight w:val="none"/>
        </w:rPr>
        <w:t>之间采用</w:t>
      </w:r>
      <w:r>
        <w:rPr>
          <w:rFonts w:hint="eastAsia"/>
          <w:b/>
          <w:bCs/>
          <w:color w:val="auto"/>
          <w:sz w:val="21"/>
          <w:szCs w:val="21"/>
          <w:highlight w:val="none"/>
        </w:rPr>
        <w:t>光纤</w:t>
      </w:r>
      <w:r>
        <w:rPr>
          <w:color w:val="auto"/>
          <w:sz w:val="21"/>
          <w:szCs w:val="21"/>
          <w:highlight w:val="none"/>
        </w:rPr>
        <w:t>的通信传输方式。</w:t>
      </w:r>
    </w:p>
    <w:p>
      <w:pPr>
        <w:tabs>
          <w:tab w:val="left" w:pos="770"/>
        </w:tabs>
        <w:rPr>
          <w:color w:val="auto"/>
          <w:sz w:val="21"/>
          <w:szCs w:val="21"/>
          <w:highlight w:val="none"/>
        </w:rPr>
      </w:pPr>
      <w:bookmarkStart w:id="493" w:name="_Toc24039"/>
      <w:r>
        <w:rPr>
          <w:rFonts w:hint="eastAsia" w:ascii="宋体" w:hAnsi="宋体"/>
          <w:color w:val="auto"/>
          <w:sz w:val="21"/>
          <w:szCs w:val="21"/>
          <w:highlight w:val="none"/>
        </w:rPr>
        <w:t>1.4.9.</w:t>
      </w:r>
      <w:r>
        <w:rPr>
          <w:color w:val="auto"/>
          <w:sz w:val="21"/>
          <w:szCs w:val="21"/>
          <w:highlight w:val="none"/>
        </w:rPr>
        <w:t>1设备信息采集及监控功能</w:t>
      </w:r>
      <w:bookmarkEnd w:id="493"/>
    </w:p>
    <w:p>
      <w:pPr>
        <w:ind w:firstLine="420" w:firstLineChars="200"/>
        <w:rPr>
          <w:color w:val="auto"/>
          <w:sz w:val="21"/>
          <w:szCs w:val="21"/>
          <w:highlight w:val="none"/>
        </w:rPr>
      </w:pPr>
      <w:r>
        <w:rPr>
          <w:color w:val="auto"/>
          <w:sz w:val="21"/>
          <w:szCs w:val="21"/>
          <w:highlight w:val="none"/>
        </w:rPr>
        <w:t>系统应该包含如下几个功能：子阵设备接入、子阵设备监视以及子阵设备远程控制、跟踪支架远程控制</w:t>
      </w:r>
      <w:r>
        <w:rPr>
          <w:rFonts w:hint="eastAsia"/>
          <w:color w:val="auto"/>
          <w:sz w:val="21"/>
          <w:szCs w:val="21"/>
          <w:highlight w:val="none"/>
        </w:rPr>
        <w:t>（如有）</w:t>
      </w:r>
      <w:r>
        <w:rPr>
          <w:color w:val="auto"/>
          <w:sz w:val="21"/>
          <w:szCs w:val="21"/>
          <w:highlight w:val="none"/>
        </w:rPr>
        <w:t>、</w:t>
      </w:r>
      <w:r>
        <w:rPr>
          <w:rFonts w:hint="eastAsia"/>
          <w:color w:val="auto"/>
          <w:sz w:val="21"/>
          <w:szCs w:val="21"/>
          <w:highlight w:val="none"/>
        </w:rPr>
        <w:t>逆变器、</w:t>
      </w:r>
      <w:r>
        <w:rPr>
          <w:color w:val="auto"/>
          <w:sz w:val="21"/>
          <w:szCs w:val="21"/>
          <w:highlight w:val="none"/>
        </w:rPr>
        <w:t>汇流箱以及直流配电柜</w:t>
      </w:r>
      <w:r>
        <w:rPr>
          <w:rFonts w:hint="eastAsia"/>
          <w:color w:val="auto"/>
          <w:sz w:val="21"/>
          <w:szCs w:val="21"/>
          <w:highlight w:val="none"/>
        </w:rPr>
        <w:t>（如有）</w:t>
      </w:r>
      <w:r>
        <w:rPr>
          <w:color w:val="auto"/>
          <w:sz w:val="21"/>
          <w:szCs w:val="21"/>
          <w:highlight w:val="none"/>
        </w:rPr>
        <w:t>等的监测。</w:t>
      </w:r>
      <w:r>
        <w:rPr>
          <w:rFonts w:hint="eastAsia"/>
          <w:color w:val="auto"/>
          <w:sz w:val="21"/>
          <w:szCs w:val="21"/>
          <w:highlight w:val="none"/>
        </w:rPr>
        <w:t>并预留与智能清扫、智能运维等系统的通信接口。</w:t>
      </w:r>
    </w:p>
    <w:p>
      <w:pPr>
        <w:numPr>
          <w:ilvl w:val="0"/>
          <w:numId w:val="6"/>
        </w:numPr>
        <w:ind w:left="0" w:firstLine="420" w:firstLineChars="200"/>
        <w:rPr>
          <w:color w:val="auto"/>
          <w:kern w:val="0"/>
          <w:sz w:val="21"/>
          <w:szCs w:val="21"/>
          <w:highlight w:val="none"/>
        </w:rPr>
      </w:pPr>
      <w:r>
        <w:rPr>
          <w:color w:val="auto"/>
          <w:kern w:val="0"/>
          <w:sz w:val="21"/>
          <w:szCs w:val="21"/>
          <w:highlight w:val="none"/>
        </w:rPr>
        <w:t>子阵设备</w:t>
      </w:r>
      <w:r>
        <w:rPr>
          <w:rFonts w:hint="eastAsia"/>
          <w:color w:val="auto"/>
          <w:kern w:val="0"/>
          <w:sz w:val="21"/>
          <w:szCs w:val="21"/>
          <w:highlight w:val="none"/>
        </w:rPr>
        <w:t>接入数据采集</w:t>
      </w:r>
      <w:r>
        <w:rPr>
          <w:color w:val="auto"/>
          <w:kern w:val="0"/>
          <w:sz w:val="21"/>
          <w:szCs w:val="21"/>
          <w:highlight w:val="none"/>
        </w:rPr>
        <w:t>监控功能</w:t>
      </w:r>
    </w:p>
    <w:p>
      <w:pPr>
        <w:ind w:firstLine="420" w:firstLineChars="200"/>
        <w:rPr>
          <w:color w:val="auto"/>
          <w:kern w:val="0"/>
          <w:sz w:val="21"/>
          <w:szCs w:val="21"/>
          <w:highlight w:val="none"/>
        </w:rPr>
      </w:pPr>
      <w:r>
        <w:rPr>
          <w:color w:val="auto"/>
          <w:kern w:val="0"/>
          <w:sz w:val="21"/>
          <w:szCs w:val="21"/>
          <w:highlight w:val="none"/>
        </w:rPr>
        <w:t>监控系统需要接入子阵设备并进行监视，例如逆变器、箱变测控、环境监测仪以及电度表、跟踪支架</w:t>
      </w:r>
      <w:r>
        <w:rPr>
          <w:rFonts w:hint="eastAsia"/>
          <w:color w:val="auto"/>
          <w:kern w:val="0"/>
          <w:sz w:val="21"/>
          <w:szCs w:val="21"/>
          <w:highlight w:val="none"/>
        </w:rPr>
        <w:t>（如有）</w:t>
      </w:r>
      <w:r>
        <w:rPr>
          <w:color w:val="auto"/>
          <w:kern w:val="0"/>
          <w:sz w:val="21"/>
          <w:szCs w:val="21"/>
          <w:highlight w:val="none"/>
        </w:rPr>
        <w:t>等。</w:t>
      </w:r>
    </w:p>
    <w:p>
      <w:pPr>
        <w:ind w:firstLine="420" w:firstLineChars="200"/>
        <w:rPr>
          <w:color w:val="auto"/>
          <w:kern w:val="0"/>
          <w:sz w:val="21"/>
          <w:szCs w:val="21"/>
          <w:highlight w:val="none"/>
        </w:rPr>
      </w:pPr>
      <w:r>
        <w:rPr>
          <w:color w:val="auto"/>
          <w:kern w:val="0"/>
          <w:sz w:val="21"/>
          <w:szCs w:val="21"/>
          <w:highlight w:val="none"/>
        </w:rPr>
        <w:t>（1）逆变器接入：支持逆变器接入，对逆变器四遥信号实时监控，告警信号的实时采集，保证逆变器的高效和稳定运行。</w:t>
      </w:r>
    </w:p>
    <w:p>
      <w:pPr>
        <w:ind w:firstLine="420" w:firstLineChars="200"/>
        <w:rPr>
          <w:color w:val="auto"/>
          <w:kern w:val="0"/>
          <w:sz w:val="21"/>
          <w:szCs w:val="21"/>
          <w:highlight w:val="none"/>
        </w:rPr>
      </w:pPr>
      <w:r>
        <w:rPr>
          <w:color w:val="auto"/>
          <w:kern w:val="0"/>
          <w:sz w:val="21"/>
          <w:szCs w:val="21"/>
          <w:highlight w:val="none"/>
        </w:rPr>
        <w:t>（2）箱变保护测控装置接入：支持不同生产厂家箱变保护测控装置，对箱变的四遥信号实时监控，箱变的告警信号实时采集，保证箱变的稳定运行和高效维护。</w:t>
      </w:r>
    </w:p>
    <w:p>
      <w:pPr>
        <w:ind w:firstLine="420" w:firstLineChars="200"/>
        <w:rPr>
          <w:color w:val="auto"/>
          <w:kern w:val="0"/>
          <w:sz w:val="21"/>
          <w:szCs w:val="21"/>
          <w:highlight w:val="none"/>
        </w:rPr>
      </w:pPr>
      <w:r>
        <w:rPr>
          <w:color w:val="auto"/>
          <w:kern w:val="0"/>
          <w:sz w:val="21"/>
          <w:szCs w:val="21"/>
          <w:highlight w:val="none"/>
        </w:rPr>
        <w:t>（3）环境监测仪接入：支持环境监测仪接入，采集实时环境信息。</w:t>
      </w:r>
    </w:p>
    <w:p>
      <w:pPr>
        <w:ind w:firstLine="420" w:firstLineChars="200"/>
        <w:rPr>
          <w:color w:val="auto"/>
          <w:kern w:val="0"/>
          <w:sz w:val="21"/>
          <w:szCs w:val="21"/>
          <w:highlight w:val="none"/>
        </w:rPr>
      </w:pPr>
      <w:r>
        <w:rPr>
          <w:color w:val="auto"/>
          <w:kern w:val="0"/>
          <w:sz w:val="21"/>
          <w:szCs w:val="21"/>
          <w:highlight w:val="none"/>
        </w:rPr>
        <w:t>（4）电度表接入：支持电度表接入，采集实时发电信息。</w:t>
      </w:r>
    </w:p>
    <w:p>
      <w:pPr>
        <w:ind w:firstLine="420" w:firstLineChars="200"/>
        <w:rPr>
          <w:color w:val="auto"/>
          <w:kern w:val="0"/>
          <w:sz w:val="21"/>
          <w:szCs w:val="21"/>
          <w:highlight w:val="none"/>
        </w:rPr>
      </w:pPr>
      <w:r>
        <w:rPr>
          <w:color w:val="auto"/>
          <w:kern w:val="0"/>
          <w:sz w:val="21"/>
          <w:szCs w:val="21"/>
          <w:highlight w:val="none"/>
        </w:rPr>
        <w:t>（5）跟踪支架接入</w:t>
      </w:r>
      <w:r>
        <w:rPr>
          <w:rFonts w:hint="eastAsia"/>
          <w:color w:val="auto"/>
          <w:kern w:val="0"/>
          <w:sz w:val="21"/>
          <w:szCs w:val="21"/>
          <w:highlight w:val="none"/>
        </w:rPr>
        <w:t>（如有）</w:t>
      </w:r>
      <w:r>
        <w:rPr>
          <w:color w:val="auto"/>
          <w:kern w:val="0"/>
          <w:sz w:val="21"/>
          <w:szCs w:val="21"/>
          <w:highlight w:val="none"/>
        </w:rPr>
        <w:t>：支持跟踪支架控制系统接入，采集支架角度信息。</w:t>
      </w:r>
    </w:p>
    <w:p>
      <w:pPr>
        <w:numPr>
          <w:ilvl w:val="0"/>
          <w:numId w:val="6"/>
        </w:numPr>
        <w:ind w:left="0" w:firstLine="420" w:firstLineChars="200"/>
        <w:rPr>
          <w:color w:val="auto"/>
          <w:kern w:val="0"/>
          <w:sz w:val="21"/>
          <w:szCs w:val="21"/>
          <w:highlight w:val="none"/>
        </w:rPr>
      </w:pPr>
      <w:r>
        <w:rPr>
          <w:color w:val="auto"/>
          <w:kern w:val="0"/>
          <w:sz w:val="21"/>
          <w:szCs w:val="21"/>
          <w:highlight w:val="none"/>
        </w:rPr>
        <w:t>子阵设备远程控制功能</w:t>
      </w:r>
    </w:p>
    <w:p>
      <w:pPr>
        <w:ind w:firstLine="420" w:firstLineChars="200"/>
        <w:rPr>
          <w:color w:val="auto"/>
          <w:kern w:val="0"/>
          <w:sz w:val="21"/>
          <w:szCs w:val="21"/>
          <w:highlight w:val="none"/>
        </w:rPr>
      </w:pPr>
      <w:r>
        <w:rPr>
          <w:color w:val="auto"/>
          <w:kern w:val="0"/>
          <w:sz w:val="21"/>
          <w:szCs w:val="21"/>
          <w:highlight w:val="none"/>
        </w:rPr>
        <w:t>子阵设备远程控制应具有箱变远程控制、逆变器远程控制以及跟踪支架远程控制</w:t>
      </w:r>
      <w:r>
        <w:rPr>
          <w:rFonts w:hint="eastAsia"/>
          <w:color w:val="auto"/>
          <w:kern w:val="0"/>
          <w:sz w:val="21"/>
          <w:szCs w:val="21"/>
          <w:highlight w:val="none"/>
        </w:rPr>
        <w:t>（如有）</w:t>
      </w:r>
      <w:r>
        <w:rPr>
          <w:color w:val="auto"/>
          <w:kern w:val="0"/>
          <w:sz w:val="21"/>
          <w:szCs w:val="21"/>
          <w:highlight w:val="none"/>
        </w:rPr>
        <w:t>的能力：</w:t>
      </w:r>
    </w:p>
    <w:p>
      <w:pPr>
        <w:ind w:firstLine="420" w:firstLineChars="200"/>
        <w:rPr>
          <w:color w:val="auto"/>
          <w:kern w:val="0"/>
          <w:sz w:val="21"/>
          <w:szCs w:val="21"/>
          <w:highlight w:val="none"/>
        </w:rPr>
      </w:pPr>
      <w:r>
        <w:rPr>
          <w:color w:val="auto"/>
          <w:kern w:val="0"/>
          <w:sz w:val="21"/>
          <w:szCs w:val="21"/>
          <w:highlight w:val="none"/>
        </w:rPr>
        <w:t>（1）箱变远程控制：按照箱变厂商提供的点表信息，对箱变的断路器进行远程控制；实时监控箱变四遥信号，实时控制高低压侧开关，并能动态上报箱变继电保护信号。</w:t>
      </w:r>
    </w:p>
    <w:p>
      <w:pPr>
        <w:ind w:firstLine="420" w:firstLineChars="200"/>
        <w:rPr>
          <w:color w:val="auto"/>
          <w:kern w:val="0"/>
          <w:sz w:val="21"/>
          <w:szCs w:val="21"/>
          <w:highlight w:val="none"/>
        </w:rPr>
      </w:pPr>
      <w:r>
        <w:rPr>
          <w:color w:val="auto"/>
          <w:kern w:val="0"/>
          <w:sz w:val="21"/>
          <w:szCs w:val="21"/>
          <w:highlight w:val="none"/>
        </w:rPr>
        <w:t>（2）逆变器远程控制：远程控制逆变器的开机与关机、功率因数调节，汇流箱以及直流配电柜的监测。</w:t>
      </w:r>
    </w:p>
    <w:p>
      <w:pPr>
        <w:ind w:firstLine="420" w:firstLineChars="200"/>
        <w:rPr>
          <w:color w:val="auto"/>
          <w:kern w:val="0"/>
          <w:sz w:val="21"/>
          <w:szCs w:val="21"/>
          <w:highlight w:val="none"/>
        </w:rPr>
      </w:pPr>
      <w:r>
        <w:rPr>
          <w:color w:val="auto"/>
          <w:kern w:val="0"/>
          <w:sz w:val="21"/>
          <w:szCs w:val="21"/>
          <w:highlight w:val="none"/>
        </w:rPr>
        <w:t>（3）跟踪支架远程控制</w:t>
      </w:r>
      <w:r>
        <w:rPr>
          <w:rFonts w:hint="eastAsia"/>
          <w:color w:val="auto"/>
          <w:kern w:val="0"/>
          <w:sz w:val="21"/>
          <w:szCs w:val="21"/>
          <w:highlight w:val="none"/>
        </w:rPr>
        <w:t>（如有）</w:t>
      </w:r>
      <w:r>
        <w:rPr>
          <w:color w:val="auto"/>
          <w:kern w:val="0"/>
          <w:sz w:val="21"/>
          <w:szCs w:val="21"/>
          <w:highlight w:val="none"/>
        </w:rPr>
        <w:t>：远程控制光伏支架调整角度。</w:t>
      </w:r>
    </w:p>
    <w:p>
      <w:pPr>
        <w:jc w:val="left"/>
        <w:rPr>
          <w:color w:val="auto"/>
          <w:kern w:val="0"/>
          <w:sz w:val="21"/>
          <w:szCs w:val="21"/>
          <w:highlight w:val="none"/>
        </w:rPr>
      </w:pPr>
      <w:r>
        <w:rPr>
          <w:rFonts w:hint="eastAsia" w:ascii="宋体" w:hAnsi="宋体"/>
          <w:color w:val="auto"/>
          <w:sz w:val="21"/>
          <w:szCs w:val="21"/>
          <w:highlight w:val="none"/>
        </w:rPr>
        <w:t>1.4.9.</w:t>
      </w:r>
      <w:r>
        <w:rPr>
          <w:rFonts w:hint="eastAsia"/>
          <w:color w:val="auto"/>
          <w:kern w:val="0"/>
          <w:sz w:val="21"/>
          <w:szCs w:val="21"/>
          <w:highlight w:val="none"/>
        </w:rPr>
        <w:t>2</w:t>
      </w:r>
      <w:r>
        <w:rPr>
          <w:color w:val="auto"/>
          <w:kern w:val="0"/>
          <w:sz w:val="21"/>
          <w:szCs w:val="21"/>
          <w:highlight w:val="none"/>
        </w:rPr>
        <w:t>可视化监控</w:t>
      </w:r>
    </w:p>
    <w:p>
      <w:pPr>
        <w:ind w:firstLine="460" w:firstLineChars="200"/>
        <w:rPr>
          <w:color w:val="auto"/>
          <w:spacing w:val="10"/>
          <w:sz w:val="21"/>
          <w:szCs w:val="21"/>
          <w:highlight w:val="none"/>
        </w:rPr>
      </w:pPr>
      <w:r>
        <w:rPr>
          <w:rFonts w:hint="eastAsia"/>
          <w:color w:val="auto"/>
          <w:spacing w:val="10"/>
          <w:sz w:val="21"/>
          <w:szCs w:val="21"/>
          <w:highlight w:val="none"/>
        </w:rPr>
        <w:t>系统的人机界面应采用面向对象开发，采用图模库一体化技术，建立多平面多图层的矢量化缩放图形系统（SVG）。系统应提供灵活丰富的图形编辑功能，可以利用系统自备的图元与用户编辑的图元，自主地定制各种接线图、目录、曲线等。快速建设设备之间的拓扑关系，便捷绑定设备图元与数据库之间的测点关联关系。自动检查和校核图形上连接关系的正确性，实现拓扑关系自动入库，自动生成设备的标注。</w:t>
      </w:r>
    </w:p>
    <w:p>
      <w:pPr>
        <w:ind w:firstLine="460" w:firstLineChars="200"/>
        <w:rPr>
          <w:color w:val="auto"/>
          <w:spacing w:val="10"/>
          <w:sz w:val="21"/>
          <w:szCs w:val="21"/>
          <w:highlight w:val="none"/>
        </w:rPr>
      </w:pPr>
      <w:r>
        <w:rPr>
          <w:color w:val="auto"/>
          <w:spacing w:val="10"/>
          <w:sz w:val="21"/>
          <w:szCs w:val="21"/>
          <w:highlight w:val="none"/>
        </w:rPr>
        <w:t>光伏场区监控系统可视化监控应该具备电站视图</w:t>
      </w:r>
      <w:r>
        <w:rPr>
          <w:rFonts w:hint="eastAsia"/>
          <w:color w:val="auto"/>
          <w:spacing w:val="10"/>
          <w:sz w:val="21"/>
          <w:szCs w:val="21"/>
          <w:highlight w:val="none"/>
        </w:rPr>
        <w:t>、</w:t>
      </w:r>
      <w:r>
        <w:rPr>
          <w:color w:val="auto"/>
          <w:spacing w:val="10"/>
          <w:sz w:val="21"/>
          <w:szCs w:val="21"/>
          <w:highlight w:val="none"/>
        </w:rPr>
        <w:t>分区视图、子阵视图</w:t>
      </w:r>
      <w:r>
        <w:rPr>
          <w:rFonts w:hint="eastAsia"/>
          <w:color w:val="auto"/>
          <w:spacing w:val="10"/>
          <w:sz w:val="21"/>
          <w:szCs w:val="21"/>
          <w:highlight w:val="none"/>
        </w:rPr>
        <w:t>、设备视图</w:t>
      </w:r>
      <w:r>
        <w:rPr>
          <w:color w:val="auto"/>
          <w:spacing w:val="10"/>
          <w:sz w:val="21"/>
          <w:szCs w:val="21"/>
          <w:highlight w:val="none"/>
        </w:rPr>
        <w:t>等功能</w:t>
      </w:r>
      <w:r>
        <w:rPr>
          <w:rFonts w:hint="eastAsia"/>
          <w:color w:val="auto"/>
          <w:spacing w:val="10"/>
          <w:sz w:val="21"/>
          <w:szCs w:val="21"/>
          <w:highlight w:val="none"/>
        </w:rPr>
        <w:t>，</w:t>
      </w:r>
      <w:r>
        <w:rPr>
          <w:color w:val="auto"/>
          <w:spacing w:val="10"/>
          <w:sz w:val="21"/>
          <w:szCs w:val="21"/>
          <w:highlight w:val="none"/>
        </w:rPr>
        <w:t>具体功能如下</w:t>
      </w:r>
      <w:r>
        <w:rPr>
          <w:rFonts w:hint="eastAsia"/>
          <w:color w:val="auto"/>
          <w:spacing w:val="10"/>
          <w:sz w:val="21"/>
          <w:szCs w:val="21"/>
          <w:highlight w:val="none"/>
        </w:rPr>
        <w:t>。</w:t>
      </w:r>
    </w:p>
    <w:p>
      <w:pPr>
        <w:ind w:firstLine="420"/>
        <w:rPr>
          <w:color w:val="auto"/>
          <w:spacing w:val="10"/>
          <w:sz w:val="21"/>
          <w:szCs w:val="21"/>
          <w:highlight w:val="none"/>
        </w:rPr>
      </w:pPr>
      <w:r>
        <w:rPr>
          <w:rFonts w:hint="eastAsia"/>
          <w:color w:val="auto"/>
          <w:spacing w:val="10"/>
          <w:sz w:val="21"/>
          <w:szCs w:val="21"/>
          <w:highlight w:val="none"/>
        </w:rPr>
        <w:t>（1）</w:t>
      </w:r>
      <w:r>
        <w:rPr>
          <w:color w:val="auto"/>
          <w:spacing w:val="10"/>
          <w:sz w:val="21"/>
          <w:szCs w:val="21"/>
          <w:highlight w:val="none"/>
        </w:rPr>
        <w:t>电站视图</w:t>
      </w:r>
    </w:p>
    <w:p>
      <w:pPr>
        <w:rPr>
          <w:color w:val="auto"/>
          <w:spacing w:val="10"/>
          <w:sz w:val="21"/>
          <w:szCs w:val="21"/>
          <w:highlight w:val="none"/>
        </w:rPr>
      </w:pPr>
      <w:r>
        <w:rPr>
          <w:rFonts w:hint="eastAsia"/>
          <w:color w:val="auto"/>
          <w:spacing w:val="10"/>
          <w:sz w:val="21"/>
          <w:szCs w:val="21"/>
          <w:highlight w:val="none"/>
        </w:rPr>
        <w:t xml:space="preserve"> </w:t>
      </w:r>
      <w:r>
        <w:rPr>
          <w:color w:val="auto"/>
          <w:spacing w:val="10"/>
          <w:sz w:val="21"/>
          <w:szCs w:val="21"/>
          <w:highlight w:val="none"/>
        </w:rPr>
        <w:t xml:space="preserve">   电站视图可以实时显示电站的当前功率</w:t>
      </w:r>
      <w:r>
        <w:rPr>
          <w:rFonts w:hint="eastAsia"/>
          <w:color w:val="auto"/>
          <w:spacing w:val="10"/>
          <w:sz w:val="21"/>
          <w:szCs w:val="21"/>
          <w:highlight w:val="none"/>
        </w:rPr>
        <w:t>、</w:t>
      </w:r>
      <w:r>
        <w:rPr>
          <w:color w:val="auto"/>
          <w:spacing w:val="10"/>
          <w:sz w:val="21"/>
          <w:szCs w:val="21"/>
          <w:highlight w:val="none"/>
        </w:rPr>
        <w:t>日发电量</w:t>
      </w:r>
      <w:r>
        <w:rPr>
          <w:rFonts w:hint="eastAsia"/>
          <w:color w:val="auto"/>
          <w:spacing w:val="10"/>
          <w:sz w:val="21"/>
          <w:szCs w:val="21"/>
          <w:highlight w:val="none"/>
        </w:rPr>
        <w:t>、</w:t>
      </w:r>
      <w:r>
        <w:rPr>
          <w:color w:val="auto"/>
          <w:spacing w:val="10"/>
          <w:sz w:val="21"/>
          <w:szCs w:val="21"/>
          <w:highlight w:val="none"/>
        </w:rPr>
        <w:t>总发电量</w:t>
      </w:r>
      <w:r>
        <w:rPr>
          <w:rFonts w:hint="eastAsia"/>
          <w:color w:val="auto"/>
          <w:spacing w:val="10"/>
          <w:sz w:val="21"/>
          <w:szCs w:val="21"/>
          <w:highlight w:val="none"/>
        </w:rPr>
        <w:t>、</w:t>
      </w:r>
      <w:r>
        <w:rPr>
          <w:color w:val="auto"/>
          <w:spacing w:val="10"/>
          <w:sz w:val="21"/>
          <w:szCs w:val="21"/>
          <w:highlight w:val="none"/>
        </w:rPr>
        <w:t>分区实时数据</w:t>
      </w:r>
      <w:r>
        <w:rPr>
          <w:rFonts w:hint="eastAsia"/>
          <w:color w:val="auto"/>
          <w:spacing w:val="10"/>
          <w:sz w:val="21"/>
          <w:szCs w:val="21"/>
          <w:highlight w:val="none"/>
        </w:rPr>
        <w:t>、</w:t>
      </w:r>
      <w:r>
        <w:rPr>
          <w:color w:val="auto"/>
          <w:spacing w:val="10"/>
          <w:sz w:val="21"/>
          <w:szCs w:val="21"/>
          <w:highlight w:val="none"/>
        </w:rPr>
        <w:t>逆变器负载率等</w:t>
      </w:r>
      <w:r>
        <w:rPr>
          <w:rFonts w:hint="eastAsia"/>
          <w:color w:val="auto"/>
          <w:spacing w:val="10"/>
          <w:sz w:val="21"/>
          <w:szCs w:val="21"/>
          <w:highlight w:val="none"/>
        </w:rPr>
        <w:t>，可直观查看电站各子阵位置及各子阵告警个数。</w:t>
      </w:r>
    </w:p>
    <w:p>
      <w:pPr>
        <w:ind w:firstLine="420"/>
        <w:rPr>
          <w:color w:val="auto"/>
          <w:spacing w:val="10"/>
          <w:sz w:val="21"/>
          <w:szCs w:val="21"/>
          <w:highlight w:val="none"/>
        </w:rPr>
      </w:pPr>
      <w:r>
        <w:rPr>
          <w:rFonts w:hint="eastAsia"/>
          <w:color w:val="auto"/>
          <w:spacing w:val="10"/>
          <w:sz w:val="21"/>
          <w:szCs w:val="21"/>
          <w:highlight w:val="none"/>
        </w:rPr>
        <w:t>（2）</w:t>
      </w:r>
      <w:r>
        <w:rPr>
          <w:color w:val="auto"/>
          <w:spacing w:val="10"/>
          <w:sz w:val="21"/>
          <w:szCs w:val="21"/>
          <w:highlight w:val="none"/>
        </w:rPr>
        <w:t>分区视图</w:t>
      </w:r>
    </w:p>
    <w:p>
      <w:pPr>
        <w:ind w:firstLine="460" w:firstLineChars="200"/>
        <w:rPr>
          <w:color w:val="auto"/>
          <w:spacing w:val="10"/>
          <w:sz w:val="21"/>
          <w:szCs w:val="21"/>
          <w:highlight w:val="none"/>
        </w:rPr>
      </w:pPr>
      <w:r>
        <w:rPr>
          <w:color w:val="auto"/>
          <w:spacing w:val="10"/>
          <w:sz w:val="21"/>
          <w:szCs w:val="21"/>
          <w:highlight w:val="none"/>
        </w:rPr>
        <w:t>分区视图基于子阵的物理位置，以子阵为基本单元进行功率监视，可以全面实时掌握分区发电情况。在分区视图界面可以方便地切入到其他视图，如双击子阵图标，可以便捷切入对应子阵分画面，双击箱变图标，可以便捷切入对应子阵分画面。</w:t>
      </w:r>
    </w:p>
    <w:p>
      <w:pPr>
        <w:ind w:firstLine="420"/>
        <w:rPr>
          <w:color w:val="auto"/>
          <w:spacing w:val="10"/>
          <w:sz w:val="21"/>
          <w:szCs w:val="21"/>
          <w:highlight w:val="none"/>
        </w:rPr>
      </w:pPr>
      <w:r>
        <w:rPr>
          <w:rFonts w:hint="eastAsia"/>
          <w:color w:val="auto"/>
          <w:spacing w:val="10"/>
          <w:sz w:val="21"/>
          <w:szCs w:val="21"/>
          <w:highlight w:val="none"/>
        </w:rPr>
        <w:t>（3）</w:t>
      </w:r>
      <w:r>
        <w:rPr>
          <w:color w:val="auto"/>
          <w:spacing w:val="10"/>
          <w:sz w:val="21"/>
          <w:szCs w:val="21"/>
          <w:highlight w:val="none"/>
        </w:rPr>
        <w:t>子阵视图</w:t>
      </w:r>
    </w:p>
    <w:p>
      <w:pPr>
        <w:ind w:firstLine="460" w:firstLineChars="200"/>
        <w:rPr>
          <w:color w:val="auto"/>
          <w:spacing w:val="10"/>
          <w:sz w:val="21"/>
          <w:szCs w:val="21"/>
          <w:highlight w:val="none"/>
        </w:rPr>
      </w:pPr>
      <w:r>
        <w:rPr>
          <w:rFonts w:hint="eastAsia"/>
          <w:color w:val="auto"/>
          <w:spacing w:val="10"/>
          <w:sz w:val="21"/>
          <w:szCs w:val="21"/>
          <w:highlight w:val="none"/>
        </w:rPr>
        <w:t>光伏场区</w:t>
      </w:r>
      <w:r>
        <w:rPr>
          <w:color w:val="auto"/>
          <w:spacing w:val="10"/>
          <w:sz w:val="21"/>
          <w:szCs w:val="21"/>
          <w:highlight w:val="none"/>
        </w:rPr>
        <w:t>监控系统可以基于组串、</w:t>
      </w:r>
      <w:r>
        <w:rPr>
          <w:rFonts w:hint="eastAsia"/>
          <w:color w:val="auto"/>
          <w:spacing w:val="10"/>
          <w:sz w:val="21"/>
          <w:szCs w:val="21"/>
          <w:highlight w:val="none"/>
        </w:rPr>
        <w:t>跟踪</w:t>
      </w:r>
      <w:r>
        <w:rPr>
          <w:color w:val="auto"/>
          <w:spacing w:val="10"/>
          <w:sz w:val="21"/>
          <w:szCs w:val="21"/>
          <w:highlight w:val="none"/>
        </w:rPr>
        <w:t>支架</w:t>
      </w:r>
      <w:r>
        <w:rPr>
          <w:rFonts w:hint="eastAsia"/>
          <w:color w:val="auto"/>
          <w:spacing w:val="10"/>
          <w:sz w:val="21"/>
          <w:szCs w:val="21"/>
          <w:highlight w:val="none"/>
        </w:rPr>
        <w:t>（如有）</w:t>
      </w:r>
      <w:r>
        <w:rPr>
          <w:color w:val="auto"/>
          <w:spacing w:val="10"/>
          <w:sz w:val="21"/>
          <w:szCs w:val="21"/>
          <w:highlight w:val="none"/>
        </w:rPr>
        <w:t>、逆变器、箱变的物理位置，以组串为基本单元进行监视。支持逆变器</w:t>
      </w:r>
      <w:r>
        <w:rPr>
          <w:rFonts w:hint="eastAsia"/>
          <w:color w:val="auto"/>
          <w:spacing w:val="10"/>
          <w:sz w:val="21"/>
          <w:szCs w:val="21"/>
          <w:highlight w:val="none"/>
        </w:rPr>
        <w:t>、</w:t>
      </w:r>
      <w:r>
        <w:rPr>
          <w:color w:val="auto"/>
          <w:spacing w:val="10"/>
          <w:sz w:val="21"/>
          <w:szCs w:val="21"/>
          <w:highlight w:val="none"/>
        </w:rPr>
        <w:t>汇流箱</w:t>
      </w:r>
      <w:r>
        <w:rPr>
          <w:rFonts w:hint="eastAsia"/>
          <w:color w:val="auto"/>
          <w:spacing w:val="10"/>
          <w:sz w:val="21"/>
          <w:szCs w:val="21"/>
          <w:highlight w:val="none"/>
        </w:rPr>
        <w:t>及</w:t>
      </w:r>
      <w:r>
        <w:rPr>
          <w:color w:val="auto"/>
          <w:spacing w:val="10"/>
          <w:sz w:val="21"/>
          <w:szCs w:val="21"/>
          <w:highlight w:val="none"/>
        </w:rPr>
        <w:t>箱变视图的便捷切换</w:t>
      </w:r>
      <w:r>
        <w:rPr>
          <w:rFonts w:hint="eastAsia"/>
          <w:color w:val="auto"/>
          <w:spacing w:val="10"/>
          <w:sz w:val="21"/>
          <w:szCs w:val="21"/>
          <w:highlight w:val="none"/>
        </w:rPr>
        <w:t>。</w:t>
      </w:r>
    </w:p>
    <w:p>
      <w:pPr>
        <w:ind w:firstLine="420"/>
        <w:rPr>
          <w:color w:val="auto"/>
          <w:spacing w:val="10"/>
          <w:sz w:val="21"/>
          <w:szCs w:val="21"/>
          <w:highlight w:val="none"/>
        </w:rPr>
      </w:pPr>
      <w:r>
        <w:rPr>
          <w:rFonts w:hint="eastAsia"/>
          <w:color w:val="auto"/>
          <w:spacing w:val="10"/>
          <w:sz w:val="21"/>
          <w:szCs w:val="21"/>
          <w:highlight w:val="none"/>
        </w:rPr>
        <w:t>（4）</w:t>
      </w:r>
      <w:r>
        <w:rPr>
          <w:color w:val="auto"/>
          <w:spacing w:val="10"/>
          <w:sz w:val="21"/>
          <w:szCs w:val="21"/>
          <w:highlight w:val="none"/>
        </w:rPr>
        <w:t>设备视图</w:t>
      </w:r>
    </w:p>
    <w:p>
      <w:pPr>
        <w:rPr>
          <w:color w:val="auto"/>
          <w:kern w:val="0"/>
          <w:sz w:val="21"/>
          <w:szCs w:val="21"/>
          <w:highlight w:val="none"/>
        </w:rPr>
      </w:pPr>
      <w:r>
        <w:rPr>
          <w:rFonts w:hint="eastAsia"/>
          <w:color w:val="auto"/>
          <w:spacing w:val="10"/>
          <w:sz w:val="21"/>
          <w:szCs w:val="21"/>
          <w:highlight w:val="none"/>
        </w:rPr>
        <w:t xml:space="preserve"> </w:t>
      </w:r>
      <w:r>
        <w:rPr>
          <w:color w:val="auto"/>
          <w:spacing w:val="10"/>
          <w:sz w:val="21"/>
          <w:szCs w:val="21"/>
          <w:highlight w:val="none"/>
        </w:rPr>
        <w:t xml:space="preserve">   </w:t>
      </w:r>
      <w:r>
        <w:rPr>
          <w:rFonts w:hint="eastAsia"/>
          <w:color w:val="auto"/>
          <w:spacing w:val="10"/>
          <w:sz w:val="21"/>
          <w:szCs w:val="21"/>
          <w:highlight w:val="none"/>
        </w:rPr>
        <w:t>光伏场区</w:t>
      </w:r>
      <w:r>
        <w:rPr>
          <w:color w:val="auto"/>
          <w:spacing w:val="10"/>
          <w:sz w:val="21"/>
          <w:szCs w:val="21"/>
          <w:highlight w:val="none"/>
        </w:rPr>
        <w:t>监控系统可以</w:t>
      </w:r>
      <w:r>
        <w:rPr>
          <w:rFonts w:hint="eastAsia"/>
          <w:color w:val="auto"/>
          <w:spacing w:val="10"/>
          <w:sz w:val="21"/>
          <w:szCs w:val="21"/>
          <w:highlight w:val="none"/>
        </w:rPr>
        <w:t>支持对电站内逆变器、汇流箱等光伏设备进行集中的实时监视，实现汇总的呈现和对比查看。支持基于分区、逆变器等不同的维度进行实时监控。</w:t>
      </w:r>
    </w:p>
    <w:p>
      <w:pPr>
        <w:jc w:val="left"/>
        <w:rPr>
          <w:bCs/>
          <w:color w:val="auto"/>
          <w:kern w:val="0"/>
          <w:sz w:val="21"/>
          <w:szCs w:val="21"/>
          <w:highlight w:val="none"/>
        </w:rPr>
      </w:pPr>
      <w:r>
        <w:rPr>
          <w:rFonts w:hint="eastAsia" w:ascii="宋体" w:hAnsi="宋体"/>
          <w:color w:val="auto"/>
          <w:sz w:val="21"/>
          <w:szCs w:val="21"/>
          <w:highlight w:val="none"/>
        </w:rPr>
        <w:t>1.4.9.</w:t>
      </w:r>
      <w:r>
        <w:rPr>
          <w:rFonts w:hint="eastAsia"/>
          <w:bCs/>
          <w:color w:val="auto"/>
          <w:kern w:val="0"/>
          <w:sz w:val="21"/>
          <w:szCs w:val="21"/>
          <w:highlight w:val="none"/>
        </w:rPr>
        <w:t>3</w:t>
      </w:r>
      <w:r>
        <w:rPr>
          <w:bCs/>
          <w:color w:val="auto"/>
          <w:kern w:val="0"/>
          <w:sz w:val="21"/>
          <w:szCs w:val="21"/>
          <w:highlight w:val="none"/>
        </w:rPr>
        <w:t>告警管理</w:t>
      </w:r>
    </w:p>
    <w:p>
      <w:pPr>
        <w:ind w:firstLine="460" w:firstLineChars="200"/>
        <w:rPr>
          <w:color w:val="auto"/>
          <w:spacing w:val="10"/>
          <w:sz w:val="21"/>
          <w:szCs w:val="21"/>
          <w:highlight w:val="none"/>
        </w:rPr>
      </w:pPr>
      <w:r>
        <w:rPr>
          <w:rFonts w:hint="eastAsia"/>
          <w:color w:val="auto"/>
          <w:spacing w:val="10"/>
          <w:sz w:val="21"/>
          <w:szCs w:val="21"/>
          <w:highlight w:val="none"/>
        </w:rPr>
        <w:t>（1）事件告警的呈现</w:t>
      </w:r>
    </w:p>
    <w:p>
      <w:pPr>
        <w:ind w:firstLine="460" w:firstLineChars="200"/>
        <w:rPr>
          <w:color w:val="auto"/>
          <w:spacing w:val="10"/>
          <w:sz w:val="21"/>
          <w:szCs w:val="21"/>
          <w:highlight w:val="none"/>
        </w:rPr>
      </w:pPr>
      <w:r>
        <w:rPr>
          <w:rFonts w:hint="eastAsia"/>
          <w:color w:val="auto"/>
          <w:spacing w:val="10"/>
          <w:sz w:val="21"/>
          <w:szCs w:val="21"/>
          <w:highlight w:val="none"/>
        </w:rPr>
        <w:t>事件告警支持多种呈现方式，按照级别显示不同颜色。最大可显示 1000 条实时告警，在有新事件与告警时能够激活声音告警与弹窗提示。事件与告警发生后，告警窗口可根据事件提供事件解释和修复建议，帮助电站管理人员和运维人员理解事件与告警含义。</w:t>
      </w:r>
    </w:p>
    <w:p>
      <w:pPr>
        <w:ind w:firstLine="460" w:firstLineChars="200"/>
        <w:rPr>
          <w:color w:val="auto"/>
          <w:spacing w:val="10"/>
          <w:sz w:val="21"/>
          <w:szCs w:val="21"/>
          <w:highlight w:val="none"/>
        </w:rPr>
      </w:pPr>
      <w:r>
        <w:rPr>
          <w:rFonts w:hint="eastAsia"/>
          <w:color w:val="auto"/>
          <w:spacing w:val="10"/>
          <w:sz w:val="21"/>
          <w:szCs w:val="21"/>
          <w:highlight w:val="none"/>
        </w:rPr>
        <w:t>（2）事件告警设定和屏蔽</w:t>
      </w:r>
    </w:p>
    <w:p>
      <w:pPr>
        <w:ind w:firstLine="460" w:firstLineChars="200"/>
        <w:rPr>
          <w:color w:val="auto"/>
          <w:sz w:val="21"/>
          <w:szCs w:val="21"/>
          <w:highlight w:val="none"/>
        </w:rPr>
      </w:pPr>
      <w:r>
        <w:rPr>
          <w:rFonts w:hint="eastAsia"/>
          <w:color w:val="auto"/>
          <w:spacing w:val="10"/>
          <w:sz w:val="21"/>
          <w:szCs w:val="21"/>
          <w:highlight w:val="none"/>
        </w:rPr>
        <w:t>支持事件与告警范围设定，按照故障、告警、提示、建议等分类进行告警展示或屏蔽，可灵活地对指定设备的测点进行报警抑制和恢复。此外屏蔽一些特殊和持续存在的告警，比如遮挡造成的告警，减少无用故障信息的干扰。</w:t>
      </w:r>
    </w:p>
    <w:p>
      <w:pPr>
        <w:jc w:val="left"/>
        <w:rPr>
          <w:bCs/>
          <w:color w:val="auto"/>
          <w:kern w:val="0"/>
          <w:sz w:val="21"/>
          <w:szCs w:val="21"/>
          <w:highlight w:val="none"/>
        </w:rPr>
      </w:pPr>
      <w:r>
        <w:rPr>
          <w:rFonts w:hint="eastAsia" w:ascii="宋体" w:hAnsi="宋体"/>
          <w:color w:val="auto"/>
          <w:sz w:val="21"/>
          <w:szCs w:val="21"/>
          <w:highlight w:val="none"/>
        </w:rPr>
        <w:t>1.4.9.</w:t>
      </w:r>
      <w:r>
        <w:rPr>
          <w:rFonts w:hint="eastAsia"/>
          <w:bCs/>
          <w:color w:val="auto"/>
          <w:kern w:val="0"/>
          <w:sz w:val="21"/>
          <w:szCs w:val="21"/>
          <w:highlight w:val="none"/>
        </w:rPr>
        <w:t>4</w:t>
      </w:r>
      <w:r>
        <w:rPr>
          <w:bCs/>
          <w:color w:val="auto"/>
          <w:kern w:val="0"/>
          <w:sz w:val="21"/>
          <w:szCs w:val="21"/>
          <w:highlight w:val="none"/>
        </w:rPr>
        <w:t>电站侧配置功能</w:t>
      </w:r>
    </w:p>
    <w:p>
      <w:pPr>
        <w:ind w:firstLine="420" w:firstLineChars="200"/>
        <w:jc w:val="left"/>
        <w:rPr>
          <w:color w:val="auto"/>
          <w:sz w:val="21"/>
          <w:szCs w:val="21"/>
          <w:highlight w:val="none"/>
        </w:rPr>
      </w:pPr>
      <w:r>
        <w:rPr>
          <w:color w:val="auto"/>
          <w:sz w:val="21"/>
          <w:szCs w:val="21"/>
          <w:highlight w:val="none"/>
        </w:rPr>
        <w:t>电站侧功能至少应该包括资产配置数字化、组态配置以及站内通信参数</w:t>
      </w:r>
      <w:r>
        <w:rPr>
          <w:rFonts w:hint="eastAsia"/>
          <w:color w:val="auto"/>
          <w:sz w:val="21"/>
          <w:szCs w:val="21"/>
          <w:highlight w:val="none"/>
        </w:rPr>
        <w:t>配置</w:t>
      </w:r>
      <w:r>
        <w:rPr>
          <w:color w:val="auto"/>
          <w:sz w:val="21"/>
          <w:szCs w:val="21"/>
          <w:highlight w:val="none"/>
        </w:rPr>
        <w:t>等功能，具体要求如下：</w:t>
      </w:r>
    </w:p>
    <w:p>
      <w:pPr>
        <w:numPr>
          <w:ilvl w:val="0"/>
          <w:numId w:val="6"/>
        </w:numPr>
        <w:ind w:left="0" w:firstLine="420" w:firstLineChars="200"/>
        <w:rPr>
          <w:color w:val="auto"/>
          <w:kern w:val="0"/>
          <w:sz w:val="21"/>
          <w:szCs w:val="21"/>
          <w:highlight w:val="none"/>
        </w:rPr>
      </w:pPr>
      <w:r>
        <w:rPr>
          <w:color w:val="auto"/>
          <w:kern w:val="0"/>
          <w:sz w:val="21"/>
          <w:szCs w:val="21"/>
          <w:highlight w:val="none"/>
        </w:rPr>
        <w:t>资产配置数字化</w:t>
      </w:r>
    </w:p>
    <w:p>
      <w:pPr>
        <w:ind w:firstLine="420" w:firstLineChars="200"/>
        <w:rPr>
          <w:color w:val="auto"/>
          <w:kern w:val="0"/>
          <w:sz w:val="21"/>
          <w:szCs w:val="21"/>
          <w:highlight w:val="none"/>
        </w:rPr>
      </w:pPr>
      <w:r>
        <w:rPr>
          <w:color w:val="auto"/>
          <w:kern w:val="0"/>
          <w:sz w:val="21"/>
          <w:szCs w:val="21"/>
          <w:highlight w:val="none"/>
        </w:rPr>
        <w:t>设备</w:t>
      </w:r>
      <w:r>
        <w:rPr>
          <w:rFonts w:hint="eastAsia"/>
          <w:color w:val="auto"/>
          <w:kern w:val="0"/>
          <w:sz w:val="21"/>
          <w:szCs w:val="21"/>
          <w:highlight w:val="none"/>
        </w:rPr>
        <w:t>台账</w:t>
      </w:r>
      <w:r>
        <w:rPr>
          <w:color w:val="auto"/>
          <w:kern w:val="0"/>
          <w:sz w:val="21"/>
          <w:szCs w:val="21"/>
          <w:highlight w:val="none"/>
        </w:rPr>
        <w:t>：支持对设备名称、型号、技术参数、设备</w:t>
      </w:r>
      <w:r>
        <w:rPr>
          <w:rFonts w:hint="eastAsia"/>
          <w:color w:val="auto"/>
          <w:kern w:val="0"/>
          <w:sz w:val="21"/>
          <w:szCs w:val="21"/>
          <w:highlight w:val="none"/>
        </w:rPr>
        <w:t>编号、设备唯一标识码等数据进行配置关联</w:t>
      </w:r>
      <w:r>
        <w:rPr>
          <w:color w:val="auto"/>
          <w:kern w:val="0"/>
          <w:sz w:val="21"/>
          <w:szCs w:val="21"/>
          <w:highlight w:val="none"/>
        </w:rPr>
        <w:t>。</w:t>
      </w:r>
    </w:p>
    <w:p>
      <w:pPr>
        <w:numPr>
          <w:ilvl w:val="0"/>
          <w:numId w:val="6"/>
        </w:numPr>
        <w:ind w:left="0" w:firstLine="420" w:firstLineChars="200"/>
        <w:rPr>
          <w:color w:val="auto"/>
          <w:kern w:val="0"/>
          <w:sz w:val="21"/>
          <w:szCs w:val="21"/>
          <w:highlight w:val="none"/>
        </w:rPr>
      </w:pPr>
      <w:r>
        <w:rPr>
          <w:color w:val="auto"/>
          <w:kern w:val="0"/>
          <w:sz w:val="21"/>
          <w:szCs w:val="21"/>
          <w:highlight w:val="none"/>
        </w:rPr>
        <w:t>组态配置</w:t>
      </w:r>
    </w:p>
    <w:p>
      <w:pPr>
        <w:ind w:firstLine="420" w:firstLineChars="200"/>
        <w:rPr>
          <w:color w:val="auto"/>
          <w:kern w:val="0"/>
          <w:sz w:val="21"/>
          <w:szCs w:val="21"/>
          <w:highlight w:val="none"/>
        </w:rPr>
      </w:pPr>
      <w:r>
        <w:rPr>
          <w:color w:val="auto"/>
          <w:kern w:val="0"/>
          <w:sz w:val="21"/>
          <w:szCs w:val="21"/>
          <w:highlight w:val="none"/>
        </w:rPr>
        <w:t>组态配置通过组态视图功能，可以对</w:t>
      </w:r>
      <w:r>
        <w:rPr>
          <w:rFonts w:hint="eastAsia"/>
          <w:color w:val="auto"/>
          <w:kern w:val="0"/>
          <w:sz w:val="21"/>
          <w:szCs w:val="21"/>
          <w:highlight w:val="none"/>
        </w:rPr>
        <w:t>光伏场</w:t>
      </w:r>
      <w:r>
        <w:rPr>
          <w:color w:val="auto"/>
          <w:kern w:val="0"/>
          <w:sz w:val="21"/>
          <w:szCs w:val="21"/>
          <w:highlight w:val="none"/>
        </w:rPr>
        <w:t>站总视图，箱变视图，</w:t>
      </w:r>
      <w:r>
        <w:rPr>
          <w:rFonts w:hint="eastAsia"/>
          <w:color w:val="auto"/>
          <w:kern w:val="0"/>
          <w:sz w:val="21"/>
          <w:szCs w:val="21"/>
          <w:highlight w:val="none"/>
        </w:rPr>
        <w:t>场</w:t>
      </w:r>
      <w:r>
        <w:rPr>
          <w:color w:val="auto"/>
          <w:kern w:val="0"/>
          <w:sz w:val="21"/>
          <w:szCs w:val="21"/>
          <w:highlight w:val="none"/>
        </w:rPr>
        <w:t>站总接线图进行配置，确定电站的布局关系。</w:t>
      </w:r>
    </w:p>
    <w:p>
      <w:pPr>
        <w:numPr>
          <w:ilvl w:val="0"/>
          <w:numId w:val="6"/>
        </w:numPr>
        <w:ind w:left="0" w:firstLine="420" w:firstLineChars="200"/>
        <w:rPr>
          <w:color w:val="auto"/>
          <w:kern w:val="0"/>
          <w:sz w:val="21"/>
          <w:szCs w:val="21"/>
          <w:highlight w:val="none"/>
        </w:rPr>
      </w:pPr>
      <w:r>
        <w:rPr>
          <w:color w:val="auto"/>
          <w:kern w:val="0"/>
          <w:sz w:val="21"/>
          <w:szCs w:val="21"/>
          <w:highlight w:val="none"/>
        </w:rPr>
        <w:t>站内通信参数设置</w:t>
      </w:r>
    </w:p>
    <w:p>
      <w:pPr>
        <w:ind w:firstLine="420" w:firstLineChars="200"/>
        <w:rPr>
          <w:color w:val="auto"/>
          <w:kern w:val="0"/>
          <w:sz w:val="21"/>
          <w:szCs w:val="21"/>
          <w:highlight w:val="none"/>
        </w:rPr>
      </w:pPr>
      <w:r>
        <w:rPr>
          <w:color w:val="auto"/>
          <w:kern w:val="0"/>
          <w:sz w:val="21"/>
          <w:szCs w:val="21"/>
          <w:highlight w:val="none"/>
        </w:rPr>
        <w:t>站内通信参数设置包含点表导入、</w:t>
      </w:r>
      <w:r>
        <w:rPr>
          <w:rFonts w:hint="eastAsia"/>
          <w:color w:val="auto"/>
          <w:kern w:val="0"/>
          <w:sz w:val="21"/>
          <w:szCs w:val="21"/>
          <w:highlight w:val="none"/>
        </w:rPr>
        <w:t>数据北向转发</w:t>
      </w:r>
      <w:r>
        <w:rPr>
          <w:color w:val="auto"/>
          <w:kern w:val="0"/>
          <w:sz w:val="21"/>
          <w:szCs w:val="21"/>
          <w:highlight w:val="none"/>
        </w:rPr>
        <w:t>参数设置。</w:t>
      </w:r>
    </w:p>
    <w:p>
      <w:pPr>
        <w:jc w:val="left"/>
        <w:rPr>
          <w:bCs/>
          <w:color w:val="auto"/>
          <w:kern w:val="0"/>
          <w:sz w:val="21"/>
          <w:szCs w:val="21"/>
          <w:highlight w:val="none"/>
        </w:rPr>
      </w:pPr>
      <w:r>
        <w:rPr>
          <w:rFonts w:hint="eastAsia" w:ascii="宋体" w:hAnsi="宋体"/>
          <w:color w:val="auto"/>
          <w:sz w:val="21"/>
          <w:szCs w:val="21"/>
          <w:highlight w:val="none"/>
        </w:rPr>
        <w:t>1.4.9.</w:t>
      </w:r>
      <w:r>
        <w:rPr>
          <w:rFonts w:hint="eastAsia"/>
          <w:bCs/>
          <w:color w:val="auto"/>
          <w:kern w:val="0"/>
          <w:sz w:val="21"/>
          <w:szCs w:val="21"/>
          <w:highlight w:val="none"/>
        </w:rPr>
        <w:t>5</w:t>
      </w:r>
      <w:r>
        <w:rPr>
          <w:bCs/>
          <w:color w:val="auto"/>
          <w:kern w:val="0"/>
          <w:sz w:val="21"/>
          <w:szCs w:val="21"/>
          <w:highlight w:val="none"/>
        </w:rPr>
        <w:t>日志查询</w:t>
      </w:r>
    </w:p>
    <w:p>
      <w:pPr>
        <w:ind w:firstLine="420" w:firstLineChars="200"/>
        <w:rPr>
          <w:bCs/>
          <w:color w:val="auto"/>
          <w:kern w:val="0"/>
          <w:sz w:val="21"/>
          <w:szCs w:val="21"/>
          <w:highlight w:val="none"/>
        </w:rPr>
      </w:pPr>
      <w:r>
        <w:rPr>
          <w:bCs/>
          <w:color w:val="auto"/>
          <w:kern w:val="0"/>
          <w:sz w:val="21"/>
          <w:szCs w:val="21"/>
          <w:highlight w:val="none"/>
        </w:rPr>
        <w:t>系统须提供完善的日志管理功能，包括安全日志查询、系统日志查询以及操作日志查询。</w:t>
      </w:r>
    </w:p>
    <w:p>
      <w:pPr>
        <w:rPr>
          <w:bCs/>
          <w:color w:val="auto"/>
          <w:kern w:val="0"/>
          <w:sz w:val="21"/>
          <w:szCs w:val="21"/>
          <w:highlight w:val="none"/>
        </w:rPr>
      </w:pPr>
      <w:r>
        <w:rPr>
          <w:rFonts w:hint="eastAsia" w:ascii="宋体" w:hAnsi="宋体"/>
          <w:color w:val="auto"/>
          <w:sz w:val="21"/>
          <w:szCs w:val="21"/>
          <w:highlight w:val="none"/>
        </w:rPr>
        <w:t>1.4.9.</w:t>
      </w:r>
      <w:r>
        <w:rPr>
          <w:rFonts w:hint="eastAsia"/>
          <w:bCs/>
          <w:color w:val="auto"/>
          <w:kern w:val="0"/>
          <w:sz w:val="21"/>
          <w:szCs w:val="21"/>
          <w:highlight w:val="none"/>
        </w:rPr>
        <w:t>6</w:t>
      </w:r>
      <w:r>
        <w:rPr>
          <w:bCs/>
          <w:color w:val="auto"/>
          <w:kern w:val="0"/>
          <w:sz w:val="21"/>
          <w:szCs w:val="21"/>
          <w:highlight w:val="none"/>
        </w:rPr>
        <w:t>传输网络要求</w:t>
      </w:r>
    </w:p>
    <w:p>
      <w:pPr>
        <w:ind w:firstLine="420" w:firstLineChars="200"/>
        <w:rPr>
          <w:color w:val="auto"/>
          <w:sz w:val="21"/>
          <w:szCs w:val="21"/>
          <w:highlight w:val="none"/>
        </w:rPr>
      </w:pPr>
      <w:r>
        <w:rPr>
          <w:color w:val="auto"/>
          <w:kern w:val="0"/>
          <w:sz w:val="21"/>
          <w:szCs w:val="21"/>
          <w:highlight w:val="none"/>
        </w:rPr>
        <w:t>本项目采用光纤环网传输模式，在每</w:t>
      </w:r>
      <w:r>
        <w:rPr>
          <w:rFonts w:hint="eastAsia"/>
          <w:color w:val="auto"/>
          <w:kern w:val="0"/>
          <w:sz w:val="21"/>
          <w:szCs w:val="21"/>
          <w:highlight w:val="none"/>
        </w:rPr>
        <w:t>个</w:t>
      </w:r>
      <w:r>
        <w:rPr>
          <w:color w:val="auto"/>
          <w:kern w:val="0"/>
          <w:sz w:val="21"/>
          <w:szCs w:val="21"/>
          <w:highlight w:val="none"/>
        </w:rPr>
        <w:t>子阵部署一个光纤环网交换机，负责该子阵的生产采集数据传输。</w:t>
      </w:r>
    </w:p>
    <w:p>
      <w:pPr>
        <w:outlineLvl w:val="3"/>
        <w:rPr>
          <w:rFonts w:ascii="宋体" w:hAnsi="宋体"/>
          <w:color w:val="auto"/>
          <w:sz w:val="21"/>
          <w:szCs w:val="21"/>
          <w:highlight w:val="none"/>
        </w:rPr>
      </w:pPr>
      <w:bookmarkStart w:id="494" w:name="_Toc31792"/>
      <w:bookmarkStart w:id="495" w:name="_Toc23450"/>
      <w:bookmarkStart w:id="496" w:name="_Toc25888"/>
      <w:bookmarkStart w:id="497" w:name="_Toc19682"/>
      <w:bookmarkStart w:id="498" w:name="_Toc23347"/>
      <w:bookmarkStart w:id="499" w:name="_Toc467077577"/>
      <w:bookmarkStart w:id="500" w:name="_Toc32622"/>
      <w:r>
        <w:rPr>
          <w:rFonts w:hint="eastAsia" w:ascii="宋体" w:hAnsi="宋体"/>
          <w:color w:val="auto"/>
          <w:sz w:val="21"/>
          <w:szCs w:val="21"/>
          <w:highlight w:val="none"/>
        </w:rPr>
        <w:t>1.4.10光伏电站运维管理功能要求</w:t>
      </w:r>
      <w:bookmarkEnd w:id="494"/>
      <w:bookmarkEnd w:id="495"/>
      <w:bookmarkEnd w:id="496"/>
      <w:bookmarkEnd w:id="497"/>
      <w:bookmarkEnd w:id="498"/>
      <w:bookmarkEnd w:id="499"/>
      <w:bookmarkEnd w:id="500"/>
    </w:p>
    <w:p>
      <w:pPr>
        <w:jc w:val="left"/>
        <w:rPr>
          <w:bCs/>
          <w:color w:val="auto"/>
          <w:kern w:val="0"/>
          <w:sz w:val="21"/>
          <w:szCs w:val="21"/>
          <w:highlight w:val="none"/>
        </w:rPr>
      </w:pPr>
      <w:r>
        <w:rPr>
          <w:rFonts w:hint="eastAsia" w:ascii="宋体" w:hAnsi="宋体"/>
          <w:color w:val="auto"/>
          <w:sz w:val="21"/>
          <w:szCs w:val="21"/>
          <w:highlight w:val="none"/>
        </w:rPr>
        <w:t>1.4.10.</w:t>
      </w:r>
      <w:r>
        <w:rPr>
          <w:rFonts w:hint="eastAsia"/>
          <w:bCs/>
          <w:color w:val="auto"/>
          <w:kern w:val="0"/>
          <w:sz w:val="21"/>
          <w:szCs w:val="21"/>
          <w:highlight w:val="none"/>
        </w:rPr>
        <w:t>1</w:t>
      </w:r>
      <w:r>
        <w:rPr>
          <w:bCs/>
          <w:color w:val="auto"/>
          <w:kern w:val="0"/>
          <w:sz w:val="21"/>
          <w:szCs w:val="21"/>
          <w:highlight w:val="none"/>
        </w:rPr>
        <w:t>报表管理能力</w:t>
      </w:r>
    </w:p>
    <w:p>
      <w:pPr>
        <w:ind w:firstLine="420" w:firstLineChars="200"/>
        <w:jc w:val="left"/>
        <w:rPr>
          <w:color w:val="auto"/>
          <w:kern w:val="0"/>
          <w:sz w:val="21"/>
          <w:szCs w:val="21"/>
          <w:highlight w:val="none"/>
        </w:rPr>
      </w:pPr>
      <w:r>
        <w:rPr>
          <w:color w:val="auto"/>
          <w:kern w:val="0"/>
          <w:sz w:val="21"/>
          <w:szCs w:val="21"/>
          <w:highlight w:val="none"/>
        </w:rPr>
        <w:t>电站级报表管理至少具有但不限于如下能力</w:t>
      </w:r>
      <w:r>
        <w:rPr>
          <w:rFonts w:hint="eastAsia"/>
          <w:color w:val="auto"/>
          <w:kern w:val="0"/>
          <w:sz w:val="21"/>
          <w:szCs w:val="21"/>
          <w:highlight w:val="none"/>
        </w:rPr>
        <w:t>：</w:t>
      </w:r>
    </w:p>
    <w:p>
      <w:pPr>
        <w:numPr>
          <w:ilvl w:val="0"/>
          <w:numId w:val="6"/>
        </w:numPr>
        <w:ind w:left="0" w:firstLine="420" w:firstLineChars="200"/>
        <w:jc w:val="left"/>
        <w:rPr>
          <w:color w:val="auto"/>
          <w:kern w:val="0"/>
          <w:sz w:val="21"/>
          <w:szCs w:val="21"/>
          <w:highlight w:val="none"/>
        </w:rPr>
      </w:pPr>
      <w:r>
        <w:rPr>
          <w:color w:val="auto"/>
          <w:kern w:val="0"/>
          <w:sz w:val="21"/>
          <w:szCs w:val="21"/>
          <w:highlight w:val="none"/>
        </w:rPr>
        <w:t>电站发电报表</w:t>
      </w:r>
    </w:p>
    <w:p>
      <w:pPr>
        <w:ind w:firstLine="420" w:firstLineChars="200"/>
        <w:jc w:val="left"/>
        <w:rPr>
          <w:color w:val="auto"/>
          <w:kern w:val="0"/>
          <w:sz w:val="21"/>
          <w:szCs w:val="21"/>
          <w:highlight w:val="none"/>
        </w:rPr>
      </w:pPr>
      <w:r>
        <w:rPr>
          <w:color w:val="auto"/>
          <w:kern w:val="0"/>
          <w:sz w:val="21"/>
          <w:szCs w:val="21"/>
          <w:highlight w:val="none"/>
        </w:rPr>
        <w:t>（1）生产运行报表：以日、月、年自动进行统计。包括电站规模及环境参数、效率指标、性能一致性指标、维护类指标、可靠性指标、环境效益指标。主要数据如：电站总辐照量、最大辐照值、理论和实际发电量、累计发电量、发电效率（PR）、等效利用小时数、峰值功率、最高负载率、并网时长、逆变器故障时长、逆变器故障率、故障损失电量、电量收益等。</w:t>
      </w:r>
      <w:r>
        <w:rPr>
          <w:color w:val="auto"/>
          <w:kern w:val="0"/>
          <w:sz w:val="21"/>
          <w:szCs w:val="21"/>
          <w:highlight w:val="none"/>
        </w:rPr>
        <w:br w:type="textWrapping"/>
      </w:r>
      <w:r>
        <w:rPr>
          <w:rFonts w:hint="eastAsia"/>
          <w:color w:val="auto"/>
          <w:kern w:val="0"/>
          <w:sz w:val="21"/>
          <w:szCs w:val="21"/>
          <w:highlight w:val="none"/>
        </w:rPr>
        <w:t xml:space="preserve">    </w:t>
      </w:r>
      <w:r>
        <w:rPr>
          <w:color w:val="auto"/>
          <w:kern w:val="0"/>
          <w:sz w:val="21"/>
          <w:szCs w:val="21"/>
          <w:highlight w:val="none"/>
        </w:rPr>
        <w:t>（</w:t>
      </w:r>
      <w:r>
        <w:rPr>
          <w:rFonts w:hint="eastAsia"/>
          <w:color w:val="auto"/>
          <w:kern w:val="0"/>
          <w:sz w:val="21"/>
          <w:szCs w:val="21"/>
          <w:highlight w:val="none"/>
        </w:rPr>
        <w:t>2</w:t>
      </w:r>
      <w:r>
        <w:rPr>
          <w:color w:val="auto"/>
          <w:kern w:val="0"/>
          <w:sz w:val="21"/>
          <w:szCs w:val="21"/>
          <w:highlight w:val="none"/>
        </w:rPr>
        <w:t>）</w:t>
      </w:r>
      <w:r>
        <w:rPr>
          <w:rFonts w:hint="eastAsia"/>
          <w:color w:val="auto"/>
          <w:kern w:val="0"/>
          <w:sz w:val="21"/>
          <w:szCs w:val="21"/>
          <w:highlight w:val="none"/>
        </w:rPr>
        <w:t>报表设备类型：含光伏电站、并网点、光伏单元、逆变器、汇流箱等。</w:t>
      </w:r>
    </w:p>
    <w:p>
      <w:pPr>
        <w:numPr>
          <w:ilvl w:val="0"/>
          <w:numId w:val="6"/>
        </w:numPr>
        <w:ind w:left="0" w:firstLine="420" w:firstLineChars="200"/>
        <w:jc w:val="left"/>
        <w:rPr>
          <w:color w:val="auto"/>
          <w:kern w:val="0"/>
          <w:sz w:val="21"/>
          <w:szCs w:val="21"/>
          <w:highlight w:val="none"/>
        </w:rPr>
      </w:pPr>
      <w:r>
        <w:rPr>
          <w:color w:val="auto"/>
          <w:kern w:val="0"/>
          <w:sz w:val="21"/>
          <w:szCs w:val="21"/>
          <w:highlight w:val="none"/>
        </w:rPr>
        <w:t>自定义报表</w:t>
      </w:r>
    </w:p>
    <w:p>
      <w:pPr>
        <w:ind w:left="480" w:leftChars="200"/>
        <w:jc w:val="left"/>
        <w:rPr>
          <w:color w:val="auto"/>
          <w:kern w:val="0"/>
          <w:sz w:val="21"/>
          <w:szCs w:val="21"/>
          <w:highlight w:val="none"/>
        </w:rPr>
      </w:pPr>
      <w:r>
        <w:rPr>
          <w:color w:val="auto"/>
          <w:kern w:val="0"/>
          <w:sz w:val="21"/>
          <w:szCs w:val="21"/>
          <w:highlight w:val="none"/>
        </w:rPr>
        <w:t>支持用户自定义报表：</w:t>
      </w:r>
      <w:r>
        <w:rPr>
          <w:color w:val="auto"/>
          <w:kern w:val="0"/>
          <w:sz w:val="21"/>
          <w:szCs w:val="21"/>
          <w:highlight w:val="none"/>
        </w:rPr>
        <w:br w:type="textWrapping"/>
      </w:r>
      <w:r>
        <w:rPr>
          <w:color w:val="auto"/>
          <w:kern w:val="0"/>
          <w:sz w:val="21"/>
          <w:szCs w:val="21"/>
          <w:highlight w:val="none"/>
        </w:rPr>
        <w:t>（</w:t>
      </w:r>
      <w:r>
        <w:rPr>
          <w:rFonts w:hint="eastAsia"/>
          <w:color w:val="auto"/>
          <w:kern w:val="0"/>
          <w:sz w:val="21"/>
          <w:szCs w:val="21"/>
          <w:highlight w:val="none"/>
        </w:rPr>
        <w:t>1</w:t>
      </w:r>
      <w:r>
        <w:rPr>
          <w:color w:val="auto"/>
          <w:kern w:val="0"/>
          <w:sz w:val="21"/>
          <w:szCs w:val="21"/>
          <w:highlight w:val="none"/>
        </w:rPr>
        <w:t>）对象自定义：可选择电站、区域、子阵和逆变器作为统计对象</w:t>
      </w:r>
      <w:r>
        <w:rPr>
          <w:rFonts w:hint="eastAsia"/>
          <w:color w:val="auto"/>
          <w:kern w:val="0"/>
          <w:sz w:val="21"/>
          <w:szCs w:val="21"/>
          <w:highlight w:val="none"/>
        </w:rPr>
        <w:t>。</w:t>
      </w:r>
      <w:r>
        <w:rPr>
          <w:color w:val="auto"/>
          <w:kern w:val="0"/>
          <w:sz w:val="21"/>
          <w:szCs w:val="21"/>
          <w:highlight w:val="none"/>
        </w:rPr>
        <w:br w:type="textWrapping"/>
      </w:r>
      <w:r>
        <w:rPr>
          <w:color w:val="auto"/>
          <w:kern w:val="0"/>
          <w:sz w:val="21"/>
          <w:szCs w:val="21"/>
          <w:highlight w:val="none"/>
        </w:rPr>
        <w:t>（</w:t>
      </w:r>
      <w:r>
        <w:rPr>
          <w:rFonts w:hint="eastAsia"/>
          <w:color w:val="auto"/>
          <w:kern w:val="0"/>
          <w:sz w:val="21"/>
          <w:szCs w:val="21"/>
          <w:highlight w:val="none"/>
        </w:rPr>
        <w:t>2</w:t>
      </w:r>
      <w:r>
        <w:rPr>
          <w:color w:val="auto"/>
          <w:kern w:val="0"/>
          <w:sz w:val="21"/>
          <w:szCs w:val="21"/>
          <w:highlight w:val="none"/>
        </w:rPr>
        <w:t>）输出</w:t>
      </w:r>
      <w:r>
        <w:rPr>
          <w:rFonts w:hint="eastAsia"/>
          <w:color w:val="auto"/>
          <w:kern w:val="0"/>
          <w:sz w:val="21"/>
          <w:szCs w:val="21"/>
          <w:highlight w:val="none"/>
        </w:rPr>
        <w:t>参数</w:t>
      </w:r>
      <w:r>
        <w:rPr>
          <w:color w:val="auto"/>
          <w:kern w:val="0"/>
          <w:sz w:val="21"/>
          <w:szCs w:val="21"/>
          <w:highlight w:val="none"/>
        </w:rPr>
        <w:t>自定义：可选择</w:t>
      </w:r>
      <w:r>
        <w:rPr>
          <w:rFonts w:hint="eastAsia"/>
          <w:color w:val="auto"/>
          <w:kern w:val="0"/>
          <w:sz w:val="21"/>
          <w:szCs w:val="21"/>
          <w:highlight w:val="none"/>
        </w:rPr>
        <w:t>统计对象的指标参数作为统计内容</w:t>
      </w:r>
      <w:r>
        <w:rPr>
          <w:color w:val="auto"/>
          <w:kern w:val="0"/>
          <w:sz w:val="21"/>
          <w:szCs w:val="21"/>
          <w:highlight w:val="none"/>
        </w:rPr>
        <w:t>。</w:t>
      </w:r>
    </w:p>
    <w:p>
      <w:pPr>
        <w:ind w:left="480" w:leftChars="200"/>
        <w:jc w:val="left"/>
        <w:rPr>
          <w:color w:val="auto"/>
          <w:sz w:val="21"/>
          <w:szCs w:val="21"/>
          <w:highlight w:val="none"/>
        </w:rPr>
      </w:pPr>
      <w:r>
        <w:rPr>
          <w:color w:val="auto"/>
          <w:kern w:val="0"/>
          <w:sz w:val="21"/>
          <w:szCs w:val="21"/>
          <w:highlight w:val="none"/>
        </w:rPr>
        <w:t>（</w:t>
      </w:r>
      <w:r>
        <w:rPr>
          <w:rFonts w:hint="eastAsia"/>
          <w:color w:val="auto"/>
          <w:kern w:val="0"/>
          <w:sz w:val="21"/>
          <w:szCs w:val="21"/>
          <w:highlight w:val="none"/>
        </w:rPr>
        <w:t>3</w:t>
      </w:r>
      <w:r>
        <w:rPr>
          <w:color w:val="auto"/>
          <w:kern w:val="0"/>
          <w:sz w:val="21"/>
          <w:szCs w:val="21"/>
          <w:highlight w:val="none"/>
        </w:rPr>
        <w:t>）时间段自定义：可选择统计时间段。</w:t>
      </w:r>
    </w:p>
    <w:p>
      <w:pPr>
        <w:tabs>
          <w:tab w:val="left" w:pos="0"/>
        </w:tabs>
        <w:topLinePunct/>
        <w:rPr>
          <w:color w:val="auto"/>
          <w:spacing w:val="10"/>
          <w:sz w:val="21"/>
          <w:szCs w:val="21"/>
          <w:highlight w:val="none"/>
        </w:rPr>
      </w:pPr>
      <w:r>
        <w:rPr>
          <w:rFonts w:hint="eastAsia" w:ascii="宋体" w:hAnsi="宋体"/>
          <w:color w:val="auto"/>
          <w:sz w:val="21"/>
          <w:szCs w:val="21"/>
          <w:highlight w:val="none"/>
        </w:rPr>
        <w:t>1.4.10.</w:t>
      </w:r>
      <w:r>
        <w:rPr>
          <w:rFonts w:hint="eastAsia"/>
          <w:bCs/>
          <w:color w:val="auto"/>
          <w:kern w:val="0"/>
          <w:sz w:val="21"/>
          <w:szCs w:val="21"/>
          <w:highlight w:val="none"/>
        </w:rPr>
        <w:t>2</w:t>
      </w:r>
      <w:r>
        <w:rPr>
          <w:rFonts w:hint="eastAsia"/>
          <w:color w:val="auto"/>
          <w:spacing w:val="10"/>
          <w:sz w:val="21"/>
          <w:szCs w:val="21"/>
          <w:highlight w:val="none"/>
        </w:rPr>
        <w:t>系统低效分析</w:t>
      </w:r>
    </w:p>
    <w:p>
      <w:pPr>
        <w:ind w:firstLine="420" w:firstLineChars="200"/>
        <w:rPr>
          <w:color w:val="auto"/>
          <w:kern w:val="0"/>
          <w:sz w:val="21"/>
          <w:szCs w:val="21"/>
          <w:highlight w:val="none"/>
        </w:rPr>
      </w:pPr>
      <w:r>
        <w:rPr>
          <w:rFonts w:hint="eastAsia"/>
          <w:color w:val="auto"/>
          <w:kern w:val="0"/>
          <w:sz w:val="21"/>
          <w:szCs w:val="21"/>
          <w:highlight w:val="none"/>
        </w:rPr>
        <w:t>应能通过对比电站子阵、逆变器、汇流箱、组串的发电数据，发现落后单元和落后发电设备，便于运维专家快速定位和确认问题。</w:t>
      </w:r>
    </w:p>
    <w:p>
      <w:pPr>
        <w:tabs>
          <w:tab w:val="left" w:pos="0"/>
        </w:tabs>
        <w:topLinePunct/>
        <w:rPr>
          <w:color w:val="auto"/>
          <w:spacing w:val="10"/>
          <w:sz w:val="21"/>
          <w:szCs w:val="21"/>
          <w:highlight w:val="none"/>
        </w:rPr>
      </w:pPr>
      <w:r>
        <w:rPr>
          <w:rFonts w:hint="eastAsia" w:ascii="宋体" w:hAnsi="宋体"/>
          <w:color w:val="auto"/>
          <w:sz w:val="21"/>
          <w:szCs w:val="21"/>
          <w:highlight w:val="none"/>
        </w:rPr>
        <w:t>1.4.10.</w:t>
      </w:r>
      <w:r>
        <w:rPr>
          <w:rFonts w:hint="eastAsia"/>
          <w:bCs/>
          <w:color w:val="auto"/>
          <w:kern w:val="0"/>
          <w:sz w:val="21"/>
          <w:szCs w:val="21"/>
          <w:highlight w:val="none"/>
        </w:rPr>
        <w:t>3</w:t>
      </w:r>
      <w:r>
        <w:rPr>
          <w:rFonts w:hint="eastAsia"/>
          <w:color w:val="auto"/>
          <w:spacing w:val="10"/>
          <w:sz w:val="21"/>
          <w:szCs w:val="21"/>
          <w:highlight w:val="none"/>
        </w:rPr>
        <w:t>离散率分析</w:t>
      </w:r>
    </w:p>
    <w:p>
      <w:pPr>
        <w:ind w:firstLine="420" w:firstLineChars="200"/>
        <w:rPr>
          <w:color w:val="auto"/>
          <w:kern w:val="0"/>
          <w:sz w:val="21"/>
          <w:szCs w:val="21"/>
          <w:highlight w:val="none"/>
        </w:rPr>
      </w:pPr>
      <w:r>
        <w:rPr>
          <w:rFonts w:hint="eastAsia"/>
          <w:color w:val="auto"/>
          <w:kern w:val="0"/>
          <w:sz w:val="21"/>
          <w:szCs w:val="21"/>
          <w:highlight w:val="none"/>
        </w:rPr>
        <w:t>系统应具备通过逆变器或组串离散率分析的能力，离散率是反映发电数据离散程度的相对指标，可用来评估逆变器和组串的整体运行水平。离散率越小说明设备整体运行的一致性越好。一般情况下离散率范围在0～5%以内，如超过该范围，则需要查找引起设备离散率较大的原因，及时排除故障，保证设备稳定运行。光伏场区监控系统应能通过对逆变器或组串进行离散率分析，高亮偏离度大的设备，实现故障快速定位和故障消缺。</w:t>
      </w:r>
    </w:p>
    <w:p>
      <w:pPr>
        <w:tabs>
          <w:tab w:val="left" w:pos="0"/>
        </w:tabs>
        <w:topLinePunct/>
        <w:rPr>
          <w:color w:val="auto"/>
          <w:spacing w:val="10"/>
          <w:sz w:val="21"/>
          <w:szCs w:val="21"/>
          <w:highlight w:val="none"/>
        </w:rPr>
      </w:pPr>
      <w:bookmarkStart w:id="501" w:name="_Hlk104390601"/>
      <w:r>
        <w:rPr>
          <w:rFonts w:hint="eastAsia" w:ascii="宋体" w:hAnsi="宋体"/>
          <w:color w:val="auto"/>
          <w:sz w:val="21"/>
          <w:szCs w:val="21"/>
          <w:highlight w:val="none"/>
        </w:rPr>
        <w:t>1.4.10.</w:t>
      </w:r>
      <w:r>
        <w:rPr>
          <w:rFonts w:hint="eastAsia"/>
          <w:bCs/>
          <w:color w:val="auto"/>
          <w:kern w:val="0"/>
          <w:sz w:val="21"/>
          <w:szCs w:val="21"/>
          <w:highlight w:val="none"/>
        </w:rPr>
        <w:t xml:space="preserve">4 </w:t>
      </w:r>
      <w:r>
        <w:rPr>
          <w:rFonts w:hint="eastAsia"/>
          <w:color w:val="auto"/>
          <w:spacing w:val="10"/>
          <w:sz w:val="21"/>
          <w:szCs w:val="21"/>
          <w:highlight w:val="none"/>
        </w:rPr>
        <w:t>IV曲线在线诊断</w:t>
      </w:r>
    </w:p>
    <w:p>
      <w:pPr>
        <w:ind w:firstLine="420" w:firstLineChars="200"/>
        <w:rPr>
          <w:color w:val="auto"/>
          <w:kern w:val="0"/>
          <w:sz w:val="21"/>
          <w:szCs w:val="21"/>
          <w:highlight w:val="none"/>
        </w:rPr>
      </w:pPr>
      <w:r>
        <w:rPr>
          <w:rFonts w:hint="eastAsia"/>
          <w:color w:val="auto"/>
          <w:kern w:val="0"/>
          <w:sz w:val="21"/>
          <w:szCs w:val="21"/>
          <w:highlight w:val="none"/>
        </w:rPr>
        <w:t>应具备组串IV曲线在线诊断能力，</w:t>
      </w:r>
      <w:r>
        <w:rPr>
          <w:rFonts w:hint="eastAsia" w:hAnsi="宋体" w:cs="宋体"/>
          <w:color w:val="auto"/>
          <w:sz w:val="21"/>
          <w:szCs w:val="21"/>
          <w:highlight w:val="none"/>
        </w:rPr>
        <w:t>实现对光伏区每台逆变器每一串组串的IV曲线等数据收集，精准判断零值组串及低效组串，提前预警。</w:t>
      </w:r>
      <w:r>
        <w:rPr>
          <w:rFonts w:hint="eastAsia"/>
          <w:color w:val="auto"/>
          <w:kern w:val="0"/>
          <w:sz w:val="21"/>
          <w:szCs w:val="21"/>
          <w:highlight w:val="none"/>
        </w:rPr>
        <w:t>要求在不改变网络结构和影响设备工作的条件下，能够在线完成电站体检，并提供运维报告和复诊报告，提升发电量。</w:t>
      </w:r>
    </w:p>
    <w:bookmarkEnd w:id="501"/>
    <w:p>
      <w:pPr>
        <w:tabs>
          <w:tab w:val="left" w:pos="0"/>
        </w:tabs>
        <w:topLinePunct/>
        <w:rPr>
          <w:color w:val="auto"/>
          <w:spacing w:val="10"/>
          <w:sz w:val="21"/>
          <w:szCs w:val="21"/>
          <w:highlight w:val="none"/>
        </w:rPr>
      </w:pPr>
      <w:r>
        <w:rPr>
          <w:rFonts w:hint="eastAsia" w:ascii="宋体" w:hAnsi="宋体"/>
          <w:color w:val="auto"/>
          <w:sz w:val="21"/>
          <w:szCs w:val="21"/>
          <w:highlight w:val="none"/>
        </w:rPr>
        <w:t>1.4.10.</w:t>
      </w:r>
      <w:r>
        <w:rPr>
          <w:rFonts w:hint="eastAsia"/>
          <w:bCs/>
          <w:color w:val="auto"/>
          <w:kern w:val="0"/>
          <w:sz w:val="21"/>
          <w:szCs w:val="21"/>
          <w:highlight w:val="none"/>
        </w:rPr>
        <w:t>5</w:t>
      </w:r>
      <w:r>
        <w:rPr>
          <w:rFonts w:hint="eastAsia"/>
          <w:color w:val="auto"/>
          <w:spacing w:val="10"/>
          <w:sz w:val="21"/>
          <w:szCs w:val="21"/>
          <w:highlight w:val="none"/>
        </w:rPr>
        <w:t>智能告警</w:t>
      </w:r>
    </w:p>
    <w:p>
      <w:pPr>
        <w:ind w:firstLine="420" w:firstLineChars="200"/>
        <w:rPr>
          <w:color w:val="auto"/>
          <w:kern w:val="0"/>
          <w:sz w:val="21"/>
          <w:szCs w:val="21"/>
          <w:highlight w:val="none"/>
        </w:rPr>
      </w:pPr>
      <w:r>
        <w:rPr>
          <w:rFonts w:hint="eastAsia"/>
          <w:color w:val="auto"/>
          <w:kern w:val="0"/>
          <w:sz w:val="21"/>
          <w:szCs w:val="21"/>
          <w:highlight w:val="none"/>
        </w:rPr>
        <w:t>智能告警分析功能应具备智能告警分析设置和智能告警，智能告警分析设置支持运维管理人员基于经验和电站实际情况，进行电站级灵活配置，平台将分析结果以告警建议的形式进行智能提示。</w:t>
      </w:r>
    </w:p>
    <w:p>
      <w:pPr>
        <w:tabs>
          <w:tab w:val="left" w:pos="0"/>
        </w:tabs>
        <w:topLinePunct/>
        <w:rPr>
          <w:color w:val="auto"/>
          <w:spacing w:val="10"/>
          <w:sz w:val="21"/>
          <w:szCs w:val="21"/>
          <w:highlight w:val="none"/>
        </w:rPr>
      </w:pPr>
      <w:r>
        <w:rPr>
          <w:rFonts w:hint="eastAsia" w:ascii="宋体" w:hAnsi="宋体"/>
          <w:color w:val="auto"/>
          <w:sz w:val="21"/>
          <w:szCs w:val="21"/>
          <w:highlight w:val="none"/>
        </w:rPr>
        <w:t>1.4.10.</w:t>
      </w:r>
      <w:r>
        <w:rPr>
          <w:rFonts w:hint="eastAsia"/>
          <w:bCs/>
          <w:color w:val="auto"/>
          <w:kern w:val="0"/>
          <w:sz w:val="21"/>
          <w:szCs w:val="21"/>
          <w:highlight w:val="none"/>
        </w:rPr>
        <w:t>6</w:t>
      </w:r>
      <w:r>
        <w:rPr>
          <w:rFonts w:hint="eastAsia"/>
          <w:color w:val="auto"/>
          <w:spacing w:val="10"/>
          <w:sz w:val="21"/>
          <w:szCs w:val="21"/>
          <w:highlight w:val="none"/>
        </w:rPr>
        <w:t>组串核查</w:t>
      </w:r>
    </w:p>
    <w:p>
      <w:pPr>
        <w:ind w:firstLine="420" w:firstLineChars="200"/>
        <w:rPr>
          <w:color w:val="auto"/>
          <w:kern w:val="0"/>
          <w:sz w:val="21"/>
          <w:szCs w:val="21"/>
          <w:highlight w:val="none"/>
        </w:rPr>
      </w:pPr>
      <w:r>
        <w:rPr>
          <w:rFonts w:hint="eastAsia"/>
          <w:color w:val="auto"/>
          <w:kern w:val="0"/>
          <w:sz w:val="21"/>
          <w:szCs w:val="21"/>
          <w:highlight w:val="none"/>
        </w:rPr>
        <w:t>组串核查应支持运维人员远程对电站组串信息进行数据核查，通过核查发现组串错配、漏配、未接入、接入串异常的情况。组串核查功能能够作为电站验收手段，同时提升数据的准确性，减少后续分析环节的处理偏差。</w:t>
      </w:r>
    </w:p>
    <w:p>
      <w:pPr>
        <w:jc w:val="left"/>
        <w:rPr>
          <w:bCs/>
          <w:color w:val="auto"/>
          <w:kern w:val="0"/>
          <w:sz w:val="21"/>
          <w:szCs w:val="21"/>
          <w:highlight w:val="none"/>
        </w:rPr>
      </w:pPr>
      <w:r>
        <w:rPr>
          <w:rFonts w:hint="eastAsia" w:ascii="宋体" w:hAnsi="宋体"/>
          <w:color w:val="auto"/>
          <w:sz w:val="21"/>
          <w:szCs w:val="21"/>
          <w:highlight w:val="none"/>
        </w:rPr>
        <w:t>1.4.10.</w:t>
      </w:r>
      <w:r>
        <w:rPr>
          <w:rFonts w:hint="eastAsia"/>
          <w:bCs/>
          <w:color w:val="auto"/>
          <w:kern w:val="0"/>
          <w:sz w:val="21"/>
          <w:szCs w:val="21"/>
          <w:highlight w:val="none"/>
        </w:rPr>
        <w:t>7</w:t>
      </w:r>
      <w:r>
        <w:rPr>
          <w:bCs/>
          <w:color w:val="auto"/>
          <w:kern w:val="0"/>
          <w:sz w:val="21"/>
          <w:szCs w:val="21"/>
          <w:highlight w:val="none"/>
        </w:rPr>
        <w:t>资产管理能力</w:t>
      </w:r>
    </w:p>
    <w:p>
      <w:pPr>
        <w:ind w:firstLine="420" w:firstLineChars="200"/>
        <w:rPr>
          <w:color w:val="auto"/>
          <w:kern w:val="0"/>
          <w:sz w:val="21"/>
          <w:szCs w:val="21"/>
          <w:highlight w:val="none"/>
        </w:rPr>
      </w:pPr>
      <w:r>
        <w:rPr>
          <w:color w:val="auto"/>
          <w:kern w:val="0"/>
          <w:sz w:val="21"/>
          <w:szCs w:val="21"/>
          <w:highlight w:val="none"/>
        </w:rPr>
        <w:t>（1）设备</w:t>
      </w:r>
      <w:r>
        <w:rPr>
          <w:rFonts w:hint="eastAsia"/>
          <w:color w:val="auto"/>
          <w:kern w:val="0"/>
          <w:sz w:val="21"/>
          <w:szCs w:val="21"/>
          <w:highlight w:val="none"/>
        </w:rPr>
        <w:t>台账</w:t>
      </w:r>
      <w:r>
        <w:rPr>
          <w:color w:val="auto"/>
          <w:kern w:val="0"/>
          <w:sz w:val="21"/>
          <w:szCs w:val="21"/>
          <w:highlight w:val="none"/>
        </w:rPr>
        <w:t>：支持对设备名称、型号、技术参数、设备</w:t>
      </w:r>
      <w:r>
        <w:rPr>
          <w:rFonts w:hint="eastAsia"/>
          <w:color w:val="auto"/>
          <w:kern w:val="0"/>
          <w:sz w:val="21"/>
          <w:szCs w:val="21"/>
          <w:highlight w:val="none"/>
        </w:rPr>
        <w:t>编号、设备唯一标识码的记录以及在运设备在线情况的展示</w:t>
      </w:r>
      <w:r>
        <w:rPr>
          <w:color w:val="auto"/>
          <w:kern w:val="0"/>
          <w:sz w:val="21"/>
          <w:szCs w:val="21"/>
          <w:highlight w:val="none"/>
        </w:rPr>
        <w:t>。</w:t>
      </w:r>
    </w:p>
    <w:p>
      <w:pPr>
        <w:tabs>
          <w:tab w:val="left" w:pos="2100"/>
          <w:tab w:val="left" w:pos="2700"/>
        </w:tabs>
        <w:textAlignment w:val="center"/>
        <w:rPr>
          <w:rFonts w:ascii="宋体" w:hAnsi="宋体"/>
          <w:color w:val="auto"/>
          <w:sz w:val="21"/>
          <w:szCs w:val="21"/>
          <w:highlight w:val="none"/>
        </w:rPr>
      </w:pPr>
      <w:r>
        <w:rPr>
          <w:color w:val="auto"/>
          <w:kern w:val="0"/>
          <w:sz w:val="21"/>
          <w:szCs w:val="21"/>
          <w:highlight w:val="none"/>
        </w:rPr>
        <w:t>（</w:t>
      </w:r>
      <w:r>
        <w:rPr>
          <w:rFonts w:hint="eastAsia"/>
          <w:color w:val="auto"/>
          <w:kern w:val="0"/>
          <w:sz w:val="21"/>
          <w:szCs w:val="21"/>
          <w:highlight w:val="none"/>
        </w:rPr>
        <w:t>2</w:t>
      </w:r>
      <w:r>
        <w:rPr>
          <w:color w:val="auto"/>
          <w:kern w:val="0"/>
          <w:sz w:val="21"/>
          <w:szCs w:val="21"/>
          <w:highlight w:val="none"/>
        </w:rPr>
        <w:t>）设备信息查询：支持设备相关信息（设备基本信息、技术参数</w:t>
      </w:r>
      <w:r>
        <w:rPr>
          <w:rFonts w:hint="eastAsia"/>
          <w:color w:val="auto"/>
          <w:kern w:val="0"/>
          <w:sz w:val="21"/>
          <w:szCs w:val="21"/>
          <w:highlight w:val="none"/>
        </w:rPr>
        <w:t>、物资状态、投运时间、</w:t>
      </w:r>
      <w:r>
        <w:rPr>
          <w:color w:val="auto"/>
          <w:kern w:val="0"/>
          <w:sz w:val="21"/>
          <w:szCs w:val="21"/>
          <w:highlight w:val="none"/>
        </w:rPr>
        <w:t>供应商等）的查询。</w:t>
      </w:r>
    </w:p>
    <w:p>
      <w:pPr>
        <w:rPr>
          <w:rFonts w:ascii="宋体" w:hAnsi="宋体"/>
          <w:color w:val="auto"/>
          <w:sz w:val="21"/>
          <w:szCs w:val="21"/>
          <w:highlight w:val="none"/>
        </w:rPr>
      </w:pPr>
      <w:bookmarkStart w:id="502" w:name="_Toc180463583"/>
      <w:r>
        <w:rPr>
          <w:rFonts w:hint="eastAsia" w:ascii="宋体" w:hAnsi="宋体"/>
          <w:color w:val="auto"/>
          <w:sz w:val="21"/>
          <w:szCs w:val="21"/>
          <w:highlight w:val="none"/>
        </w:rPr>
        <w:t>1</w:t>
      </w:r>
      <w:r>
        <w:rPr>
          <w:rFonts w:ascii="宋体" w:hAnsi="宋体"/>
          <w:color w:val="auto"/>
          <w:sz w:val="21"/>
          <w:szCs w:val="21"/>
          <w:highlight w:val="none"/>
        </w:rPr>
        <w:t xml:space="preserve">.3.6 </w:t>
      </w:r>
      <w:r>
        <w:rPr>
          <w:rFonts w:hint="eastAsia" w:ascii="宋体" w:hAnsi="宋体"/>
          <w:color w:val="auto"/>
          <w:sz w:val="21"/>
          <w:szCs w:val="21"/>
          <w:highlight w:val="none"/>
        </w:rPr>
        <w:t>系统性能指标</w:t>
      </w:r>
      <w:bookmarkEnd w:id="502"/>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站控管理系统至少应满足以下性能指标要求：</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（1）模拟量测量误差≤0.2%</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（2）电网频率测量误差≤</w:t>
      </w:r>
      <w:r>
        <w:rPr>
          <w:rFonts w:ascii="宋体" w:hAnsi="宋体"/>
          <w:color w:val="auto"/>
          <w:sz w:val="21"/>
          <w:szCs w:val="21"/>
          <w:highlight w:val="none"/>
        </w:rPr>
        <w:t>0.01</w:t>
      </w:r>
      <w:r>
        <w:rPr>
          <w:rFonts w:hint="eastAsia" w:ascii="宋体" w:hAnsi="宋体"/>
          <w:color w:val="auto"/>
          <w:sz w:val="21"/>
          <w:szCs w:val="21"/>
          <w:highlight w:val="none"/>
        </w:rPr>
        <w:t>Hz</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（3）事件顺序记录分辨率（SOE）：站控层≤2ms，间隔层测控装置≤2ms</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（4）模拟量越死区传送时间（至站控层显示器）≤2s</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（5）开关量变位传送时间（至站控层显示器）≤1s</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（6）遥测信息响应时间（从I/O输入端至远动工作站出口）≤3s</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（7）遥信变化响应时间（从I/O输入端至远动工作站出口）≤2s</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（8）控制命令从生成到输出的时间≤1s</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（9）双机系统年可用率≥99.98％</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（10）控制操作正确率≥100％</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（11）站控层平均无故障间隔时间（MTBF）≥2</w:t>
      </w:r>
      <w:r>
        <w:rPr>
          <w:rFonts w:ascii="宋体" w:hAnsi="宋体"/>
          <w:color w:val="auto"/>
          <w:sz w:val="21"/>
          <w:szCs w:val="21"/>
          <w:highlight w:val="none"/>
        </w:rPr>
        <w:t>0</w:t>
      </w:r>
      <w:r>
        <w:rPr>
          <w:rFonts w:hint="eastAsia" w:ascii="宋体" w:hAnsi="宋体"/>
          <w:color w:val="auto"/>
          <w:sz w:val="21"/>
          <w:szCs w:val="21"/>
          <w:highlight w:val="none"/>
        </w:rPr>
        <w:t>000小时</w:t>
      </w:r>
    </w:p>
    <w:p>
      <w:pPr>
        <w:ind w:firstLine="1050" w:firstLineChars="500"/>
        <w:rPr>
          <w:rFonts w:ascii="宋体" w:hAnsi="宋体"/>
          <w:color w:val="auto"/>
          <w:sz w:val="21"/>
          <w:szCs w:val="21"/>
          <w:highlight w:val="none"/>
        </w:rPr>
      </w:pPr>
      <w:r>
        <w:rPr>
          <w:rFonts w:hint="eastAsia" w:ascii="宋体" w:hAnsi="宋体"/>
          <w:color w:val="auto"/>
          <w:sz w:val="21"/>
          <w:szCs w:val="21"/>
          <w:highlight w:val="none"/>
        </w:rPr>
        <w:t>间隔层装置平均无故障间隔时间≥30000小时</w:t>
      </w:r>
    </w:p>
    <w:p>
      <w:pPr>
        <w:pStyle w:val="2"/>
        <w:ind w:left="480"/>
        <w:rPr>
          <w:color w:val="auto"/>
          <w:highlight w:val="none"/>
        </w:rPr>
      </w:pPr>
      <w:r>
        <w:rPr>
          <w:rFonts w:hint="eastAsia" w:ascii="宋体" w:hAnsi="宋体"/>
          <w:color w:val="auto"/>
          <w:sz w:val="21"/>
          <w:szCs w:val="21"/>
          <w:highlight w:val="none"/>
        </w:rPr>
        <w:t>系统内主要设备运行寿命≥10年</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（12）各工作站的CPU平均负荷率：</w:t>
      </w:r>
    </w:p>
    <w:p>
      <w:pPr>
        <w:ind w:firstLine="1050" w:firstLineChars="500"/>
        <w:rPr>
          <w:rFonts w:ascii="宋体" w:hAnsi="宋体"/>
          <w:color w:val="auto"/>
          <w:sz w:val="21"/>
          <w:szCs w:val="21"/>
          <w:highlight w:val="none"/>
        </w:rPr>
      </w:pPr>
      <w:r>
        <w:rPr>
          <w:rFonts w:hint="eastAsia" w:ascii="宋体" w:hAnsi="宋体"/>
          <w:color w:val="auto"/>
          <w:sz w:val="21"/>
          <w:szCs w:val="21"/>
          <w:highlight w:val="none"/>
        </w:rPr>
        <w:t>正常时（任意30min内）≤30％</w:t>
      </w:r>
    </w:p>
    <w:p>
      <w:pPr>
        <w:ind w:firstLine="1050" w:firstLineChars="500"/>
        <w:rPr>
          <w:rFonts w:ascii="宋体" w:hAnsi="宋体"/>
          <w:color w:val="auto"/>
          <w:sz w:val="21"/>
          <w:szCs w:val="21"/>
          <w:highlight w:val="none"/>
        </w:rPr>
      </w:pPr>
      <w:r>
        <w:rPr>
          <w:rFonts w:hint="eastAsia" w:ascii="宋体" w:hAnsi="宋体"/>
          <w:color w:val="auto"/>
          <w:sz w:val="21"/>
          <w:szCs w:val="21"/>
          <w:highlight w:val="none"/>
        </w:rPr>
        <w:t>电力系统故障（10s内）≤70％</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（13）网络负荷率</w:t>
      </w:r>
    </w:p>
    <w:p>
      <w:pPr>
        <w:ind w:firstLine="1050" w:firstLineChars="500"/>
        <w:rPr>
          <w:rFonts w:ascii="宋体" w:hAnsi="宋体"/>
          <w:color w:val="auto"/>
          <w:sz w:val="21"/>
          <w:szCs w:val="21"/>
          <w:highlight w:val="none"/>
        </w:rPr>
      </w:pPr>
      <w:r>
        <w:rPr>
          <w:rFonts w:hint="eastAsia" w:ascii="宋体" w:hAnsi="宋体"/>
          <w:color w:val="auto"/>
          <w:sz w:val="21"/>
          <w:szCs w:val="21"/>
          <w:highlight w:val="none"/>
        </w:rPr>
        <w:t>正常时（任意30min内）≤20％</w:t>
      </w:r>
    </w:p>
    <w:p>
      <w:pPr>
        <w:ind w:firstLine="1050" w:firstLineChars="500"/>
        <w:rPr>
          <w:rFonts w:ascii="宋体" w:hAnsi="宋体"/>
          <w:color w:val="auto"/>
          <w:sz w:val="21"/>
          <w:szCs w:val="21"/>
          <w:highlight w:val="none"/>
        </w:rPr>
      </w:pPr>
      <w:r>
        <w:rPr>
          <w:rFonts w:hint="eastAsia" w:ascii="宋体" w:hAnsi="宋体"/>
          <w:color w:val="auto"/>
          <w:sz w:val="21"/>
          <w:szCs w:val="21"/>
          <w:highlight w:val="none"/>
        </w:rPr>
        <w:t>电力系统故障（10s内）≤30％</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（14）模数转换分辨率≥1</w:t>
      </w:r>
      <w:r>
        <w:rPr>
          <w:rFonts w:ascii="宋体" w:hAnsi="宋体"/>
          <w:color w:val="auto"/>
          <w:sz w:val="21"/>
          <w:szCs w:val="21"/>
          <w:highlight w:val="none"/>
        </w:rPr>
        <w:t>6</w:t>
      </w:r>
      <w:r>
        <w:rPr>
          <w:rFonts w:hint="eastAsia" w:ascii="宋体" w:hAnsi="宋体"/>
          <w:color w:val="auto"/>
          <w:sz w:val="21"/>
          <w:szCs w:val="21"/>
          <w:highlight w:val="none"/>
        </w:rPr>
        <w:t>位，转换误差≤0.2％</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（15）站控层设备对时精度≤1s</w:t>
      </w:r>
    </w:p>
    <w:p>
      <w:pPr>
        <w:tabs>
          <w:tab w:val="left" w:pos="2700"/>
        </w:tabs>
        <w:ind w:firstLine="420" w:firstLineChars="200"/>
        <w:textAlignment w:val="center"/>
        <w:rPr>
          <w:rFonts w:ascii="宋体" w:hAnsi="宋体"/>
          <w:color w:val="auto"/>
          <w:sz w:val="21"/>
          <w:szCs w:val="21"/>
          <w:highlight w:val="none"/>
        </w:rPr>
      </w:pPr>
      <w:r>
        <w:rPr>
          <w:rFonts w:hint="eastAsia" w:ascii="宋体" w:hAnsi="宋体"/>
          <w:color w:val="auto"/>
          <w:sz w:val="21"/>
          <w:szCs w:val="21"/>
          <w:highlight w:val="none"/>
        </w:rPr>
        <w:t>（16）画面整幅调用响应时间：实时画面≤1</w:t>
      </w:r>
      <w:r>
        <w:rPr>
          <w:rFonts w:ascii="宋体" w:hAnsi="宋体"/>
          <w:color w:val="auto"/>
          <w:sz w:val="21"/>
          <w:szCs w:val="21"/>
          <w:highlight w:val="none"/>
        </w:rPr>
        <w:t>s</w:t>
      </w:r>
      <w:r>
        <w:rPr>
          <w:rFonts w:hint="eastAsia" w:ascii="宋体" w:hAnsi="宋体"/>
          <w:color w:val="auto"/>
          <w:sz w:val="21"/>
          <w:szCs w:val="21"/>
          <w:highlight w:val="none"/>
        </w:rPr>
        <w:t>，其他画面≤2</w:t>
      </w:r>
      <w:r>
        <w:rPr>
          <w:rFonts w:ascii="宋体" w:hAnsi="宋体"/>
          <w:color w:val="auto"/>
          <w:sz w:val="21"/>
          <w:szCs w:val="21"/>
          <w:highlight w:val="none"/>
        </w:rPr>
        <w:t>s</w:t>
      </w:r>
      <w:r>
        <w:rPr>
          <w:rFonts w:hint="eastAsia" w:ascii="宋体" w:hAnsi="宋体"/>
          <w:color w:val="auto"/>
          <w:sz w:val="21"/>
          <w:szCs w:val="21"/>
          <w:highlight w:val="none"/>
        </w:rPr>
        <w:t>；</w:t>
      </w:r>
    </w:p>
    <w:p>
      <w:pPr>
        <w:tabs>
          <w:tab w:val="left" w:pos="1080"/>
        </w:tabs>
        <w:overflowPunct w:val="0"/>
        <w:snapToGrid w:val="0"/>
        <w:ind w:firstLine="504" w:firstLineChars="240"/>
        <w:rPr>
          <w:rFonts w:hAnsi="宋体"/>
          <w:color w:val="auto"/>
          <w:sz w:val="21"/>
          <w:szCs w:val="24"/>
          <w:highlight w:val="none"/>
        </w:rPr>
      </w:pPr>
      <w:r>
        <w:rPr>
          <w:rFonts w:hint="eastAsia" w:ascii="宋体" w:hAnsi="宋体"/>
          <w:color w:val="auto"/>
          <w:sz w:val="21"/>
          <w:szCs w:val="21"/>
          <w:highlight w:val="none"/>
        </w:rPr>
        <w:t>（17）</w:t>
      </w:r>
      <w:r>
        <w:rPr>
          <w:rFonts w:ascii="宋体" w:hAnsi="宋体"/>
          <w:color w:val="auto"/>
          <w:sz w:val="21"/>
          <w:szCs w:val="21"/>
          <w:highlight w:val="none"/>
        </w:rPr>
        <w:t>实时数据库容量：模拟量大于等于</w:t>
      </w:r>
      <w:r>
        <w:rPr>
          <w:rFonts w:hint="eastAsia" w:ascii="宋体" w:hAnsi="宋体"/>
          <w:color w:val="auto"/>
          <w:sz w:val="21"/>
          <w:szCs w:val="21"/>
          <w:highlight w:val="none"/>
        </w:rPr>
        <w:t>12</w:t>
      </w:r>
      <w:r>
        <w:rPr>
          <w:rFonts w:ascii="宋体" w:hAnsi="宋体"/>
          <w:color w:val="auto"/>
          <w:sz w:val="21"/>
          <w:szCs w:val="21"/>
          <w:highlight w:val="none"/>
        </w:rPr>
        <w:t>0000</w:t>
      </w:r>
      <w:r>
        <w:rPr>
          <w:rFonts w:hint="eastAsia" w:ascii="宋体" w:hAnsi="宋体"/>
          <w:color w:val="auto"/>
          <w:sz w:val="21"/>
          <w:szCs w:val="21"/>
          <w:highlight w:val="none"/>
        </w:rPr>
        <w:t>点</w:t>
      </w:r>
      <w:r>
        <w:rPr>
          <w:rFonts w:ascii="宋体" w:hAnsi="宋体"/>
          <w:color w:val="auto"/>
          <w:sz w:val="21"/>
          <w:szCs w:val="21"/>
          <w:highlight w:val="none"/>
        </w:rPr>
        <w:t>，状态量大于等于</w:t>
      </w:r>
      <w:r>
        <w:rPr>
          <w:rFonts w:hint="eastAsia" w:ascii="宋体" w:hAnsi="宋体"/>
          <w:color w:val="auto"/>
          <w:sz w:val="21"/>
          <w:szCs w:val="21"/>
          <w:highlight w:val="none"/>
        </w:rPr>
        <w:t>12</w:t>
      </w:r>
      <w:r>
        <w:rPr>
          <w:rFonts w:ascii="宋体" w:hAnsi="宋体"/>
          <w:color w:val="auto"/>
          <w:sz w:val="21"/>
          <w:szCs w:val="21"/>
          <w:highlight w:val="none"/>
        </w:rPr>
        <w:t>0000</w:t>
      </w:r>
      <w:r>
        <w:rPr>
          <w:rFonts w:hint="eastAsia" w:ascii="宋体" w:hAnsi="宋体"/>
          <w:color w:val="auto"/>
          <w:sz w:val="21"/>
          <w:szCs w:val="21"/>
          <w:highlight w:val="none"/>
        </w:rPr>
        <w:t>点</w:t>
      </w:r>
      <w:r>
        <w:rPr>
          <w:rFonts w:ascii="宋体" w:hAnsi="宋体"/>
          <w:color w:val="auto"/>
          <w:sz w:val="21"/>
          <w:szCs w:val="21"/>
          <w:highlight w:val="none"/>
        </w:rPr>
        <w:t>，遥控大于等于</w:t>
      </w:r>
      <w:r>
        <w:rPr>
          <w:rFonts w:hint="eastAsia" w:ascii="宋体" w:hAnsi="宋体"/>
          <w:color w:val="auto"/>
          <w:sz w:val="21"/>
          <w:szCs w:val="21"/>
          <w:highlight w:val="none"/>
        </w:rPr>
        <w:t>8</w:t>
      </w:r>
      <w:r>
        <w:rPr>
          <w:rFonts w:ascii="宋体" w:hAnsi="宋体"/>
          <w:color w:val="auto"/>
          <w:sz w:val="21"/>
          <w:szCs w:val="21"/>
          <w:highlight w:val="none"/>
        </w:rPr>
        <w:t>000</w:t>
      </w:r>
      <w:r>
        <w:rPr>
          <w:rFonts w:hint="eastAsia" w:ascii="宋体" w:hAnsi="宋体"/>
          <w:color w:val="auto"/>
          <w:sz w:val="21"/>
          <w:szCs w:val="21"/>
          <w:highlight w:val="none"/>
        </w:rPr>
        <w:t>点</w:t>
      </w:r>
      <w:r>
        <w:rPr>
          <w:rFonts w:ascii="宋体" w:hAnsi="宋体"/>
          <w:color w:val="auto"/>
          <w:sz w:val="21"/>
          <w:szCs w:val="21"/>
          <w:highlight w:val="none"/>
        </w:rPr>
        <w:t>，计算量大于等于</w:t>
      </w:r>
      <w:r>
        <w:rPr>
          <w:rFonts w:hint="eastAsia" w:ascii="宋体" w:hAnsi="宋体"/>
          <w:color w:val="auto"/>
          <w:sz w:val="21"/>
          <w:szCs w:val="21"/>
          <w:highlight w:val="none"/>
        </w:rPr>
        <w:t>6000</w:t>
      </w:r>
      <w:r>
        <w:rPr>
          <w:rFonts w:ascii="宋体" w:hAnsi="宋体"/>
          <w:color w:val="auto"/>
          <w:sz w:val="21"/>
          <w:szCs w:val="21"/>
          <w:highlight w:val="none"/>
        </w:rPr>
        <w:t>0</w:t>
      </w:r>
      <w:r>
        <w:rPr>
          <w:rFonts w:hint="eastAsia" w:ascii="宋体" w:hAnsi="宋体"/>
          <w:color w:val="auto"/>
          <w:sz w:val="21"/>
          <w:szCs w:val="21"/>
          <w:highlight w:val="none"/>
        </w:rPr>
        <w:t>点</w:t>
      </w:r>
      <w:r>
        <w:rPr>
          <w:rFonts w:ascii="宋体" w:hAnsi="宋体"/>
          <w:color w:val="auto"/>
          <w:sz w:val="21"/>
          <w:szCs w:val="21"/>
          <w:highlight w:val="none"/>
        </w:rPr>
        <w:t>。</w:t>
      </w:r>
      <w:r>
        <w:rPr>
          <w:rFonts w:hint="eastAsia" w:ascii="宋体" w:hAnsi="宋体"/>
          <w:color w:val="auto"/>
          <w:sz w:val="21"/>
          <w:szCs w:val="21"/>
          <w:highlight w:val="none"/>
        </w:rPr>
        <w:t>应满足至少</w:t>
      </w:r>
      <w:r>
        <w:rPr>
          <w:rFonts w:hint="eastAsia" w:ascii="宋体" w:hAnsi="宋体"/>
          <w:bCs/>
          <w:color w:val="auto"/>
          <w:sz w:val="21"/>
          <w:szCs w:val="21"/>
          <w:highlight w:val="none"/>
        </w:rPr>
        <w:t>500MWp容量的光伏区设备监控。</w:t>
      </w:r>
    </w:p>
    <w:p>
      <w:pPr>
        <w:keepNext/>
        <w:tabs>
          <w:tab w:val="left" w:pos="600"/>
        </w:tabs>
        <w:adjustRightInd w:val="0"/>
        <w:snapToGrid w:val="0"/>
        <w:jc w:val="left"/>
        <w:textAlignment w:val="baseline"/>
        <w:outlineLvl w:val="1"/>
        <w:rPr>
          <w:rFonts w:ascii="宋体" w:hAnsi="宋体"/>
          <w:color w:val="auto"/>
          <w:kern w:val="0"/>
          <w:szCs w:val="24"/>
          <w:highlight w:val="none"/>
        </w:rPr>
      </w:pPr>
      <w:bookmarkStart w:id="503" w:name="_Toc510722342"/>
      <w:bookmarkStart w:id="504" w:name="_Toc91247584"/>
      <w:r>
        <w:rPr>
          <w:rFonts w:hint="eastAsia" w:ascii="宋体" w:hAnsi="宋体"/>
          <w:color w:val="auto"/>
          <w:kern w:val="0"/>
          <w:szCs w:val="24"/>
          <w:highlight w:val="none"/>
        </w:rPr>
        <w:t>2 其它要求</w:t>
      </w:r>
      <w:bookmarkEnd w:id="503"/>
      <w:bookmarkEnd w:id="504"/>
    </w:p>
    <w:p>
      <w:pPr>
        <w:overflowPunct w:val="0"/>
        <w:adjustRightInd w:val="0"/>
        <w:snapToGrid w:val="0"/>
        <w:jc w:val="left"/>
        <w:textAlignment w:val="baseline"/>
        <w:outlineLvl w:val="2"/>
        <w:rPr>
          <w:rFonts w:ascii="宋体" w:hAnsi="宋体"/>
          <w:color w:val="auto"/>
          <w:kern w:val="0"/>
          <w:sz w:val="21"/>
          <w:szCs w:val="21"/>
          <w:highlight w:val="none"/>
        </w:rPr>
      </w:pPr>
      <w:bookmarkStart w:id="505" w:name="_Toc510722343"/>
      <w:bookmarkStart w:id="506" w:name="_Toc510683381"/>
      <w:r>
        <w:rPr>
          <w:rFonts w:hint="eastAsia" w:ascii="宋体" w:hAnsi="宋体"/>
          <w:color w:val="auto"/>
          <w:kern w:val="0"/>
          <w:sz w:val="21"/>
          <w:szCs w:val="21"/>
          <w:highlight w:val="none"/>
        </w:rPr>
        <w:t>2.1 互换性</w:t>
      </w:r>
      <w:bookmarkEnd w:id="505"/>
      <w:bookmarkEnd w:id="506"/>
    </w:p>
    <w:p>
      <w:pPr>
        <w:snapToGrid w:val="0"/>
        <w:ind w:firstLine="420" w:firstLineChars="200"/>
        <w:rPr>
          <w:rFonts w:hAnsi="宋体"/>
          <w:color w:val="auto"/>
          <w:sz w:val="21"/>
          <w:szCs w:val="24"/>
          <w:highlight w:val="none"/>
        </w:rPr>
      </w:pPr>
      <w:r>
        <w:rPr>
          <w:rFonts w:hint="eastAsia" w:hAnsi="宋体"/>
          <w:color w:val="auto"/>
          <w:sz w:val="21"/>
          <w:szCs w:val="24"/>
          <w:highlight w:val="none"/>
        </w:rPr>
        <w:t>所提供的逆变器要有相同的设计和结构，同型号部件都可以互换使用。在正常使用中可以互换的逆变器系统的任何部件性能和寿命要统一，都应可以互换而不须要改变接口特性。</w:t>
      </w:r>
      <w:bookmarkStart w:id="507" w:name="_Toc510722344"/>
      <w:bookmarkStart w:id="508" w:name="_Toc510683382"/>
      <w:r>
        <w:rPr>
          <w:rFonts w:hint="eastAsia" w:hAnsi="宋体"/>
          <w:color w:val="auto"/>
          <w:sz w:val="21"/>
          <w:szCs w:val="24"/>
          <w:highlight w:val="none"/>
        </w:rPr>
        <w:t>所有逆变器应采用统一的彩色编码和或接线标记。</w:t>
      </w:r>
    </w:p>
    <w:p>
      <w:pPr>
        <w:overflowPunct w:val="0"/>
        <w:adjustRightInd w:val="0"/>
        <w:snapToGrid w:val="0"/>
        <w:jc w:val="left"/>
        <w:textAlignment w:val="baseline"/>
        <w:outlineLvl w:val="2"/>
        <w:rPr>
          <w:rFonts w:ascii="宋体" w:hAnsi="宋体"/>
          <w:color w:val="auto"/>
          <w:kern w:val="0"/>
          <w:sz w:val="21"/>
          <w:szCs w:val="21"/>
          <w:highlight w:val="none"/>
        </w:rPr>
      </w:pPr>
      <w:r>
        <w:rPr>
          <w:rFonts w:hint="eastAsia" w:ascii="宋体" w:hAnsi="宋体"/>
          <w:color w:val="auto"/>
          <w:kern w:val="0"/>
          <w:sz w:val="21"/>
          <w:szCs w:val="21"/>
          <w:highlight w:val="none"/>
        </w:rPr>
        <w:t>2.2 可靠设计</w:t>
      </w:r>
      <w:bookmarkEnd w:id="507"/>
      <w:bookmarkEnd w:id="508"/>
    </w:p>
    <w:p>
      <w:pPr>
        <w:snapToGrid w:val="0"/>
        <w:rPr>
          <w:rFonts w:hAnsi="宋体"/>
          <w:color w:val="auto"/>
          <w:sz w:val="21"/>
          <w:szCs w:val="24"/>
          <w:highlight w:val="none"/>
        </w:rPr>
      </w:pPr>
      <w:r>
        <w:rPr>
          <w:rFonts w:hint="eastAsia" w:hAnsi="宋体"/>
          <w:color w:val="auto"/>
          <w:sz w:val="21"/>
          <w:szCs w:val="24"/>
          <w:highlight w:val="none"/>
        </w:rPr>
        <w:t xml:space="preserve">    所有的系统元件须满足如下三个可靠性要求之中的一个：</w:t>
      </w:r>
    </w:p>
    <w:p>
      <w:pPr>
        <w:tabs>
          <w:tab w:val="left" w:pos="900"/>
        </w:tabs>
        <w:overflowPunct w:val="0"/>
        <w:snapToGrid w:val="0"/>
        <w:ind w:left="360"/>
        <w:rPr>
          <w:rFonts w:hAnsi="宋体"/>
          <w:color w:val="auto"/>
          <w:sz w:val="21"/>
          <w:szCs w:val="24"/>
          <w:highlight w:val="none"/>
        </w:rPr>
      </w:pPr>
      <w:r>
        <w:rPr>
          <w:rFonts w:hint="eastAsia" w:hAnsi="宋体"/>
          <w:color w:val="auto"/>
          <w:sz w:val="21"/>
          <w:szCs w:val="24"/>
          <w:highlight w:val="none"/>
        </w:rPr>
        <w:t>（1</w:t>
      </w:r>
      <w:r>
        <w:rPr>
          <w:rFonts w:hAnsi="宋体"/>
          <w:color w:val="auto"/>
          <w:sz w:val="21"/>
          <w:szCs w:val="24"/>
          <w:highlight w:val="none"/>
        </w:rPr>
        <w:t>）</w:t>
      </w:r>
      <w:r>
        <w:rPr>
          <w:rFonts w:hint="eastAsia" w:hAnsi="宋体"/>
          <w:color w:val="auto"/>
          <w:sz w:val="21"/>
          <w:szCs w:val="24"/>
          <w:highlight w:val="none"/>
        </w:rPr>
        <w:t>用控制系统检测可能发生故障的方式，如检测到故障，系统应能自动安全停机。</w:t>
      </w:r>
    </w:p>
    <w:p>
      <w:pPr>
        <w:tabs>
          <w:tab w:val="left" w:pos="900"/>
        </w:tabs>
        <w:overflowPunct w:val="0"/>
        <w:snapToGrid w:val="0"/>
        <w:ind w:left="360"/>
        <w:rPr>
          <w:rFonts w:hAnsi="宋体"/>
          <w:color w:val="auto"/>
          <w:sz w:val="21"/>
          <w:szCs w:val="24"/>
          <w:highlight w:val="none"/>
        </w:rPr>
      </w:pPr>
      <w:r>
        <w:rPr>
          <w:rFonts w:hint="eastAsia" w:hAnsi="宋体"/>
          <w:color w:val="auto"/>
          <w:sz w:val="21"/>
          <w:szCs w:val="24"/>
          <w:highlight w:val="none"/>
        </w:rPr>
        <w:t>（2</w:t>
      </w:r>
      <w:r>
        <w:rPr>
          <w:rFonts w:hAnsi="宋体"/>
          <w:color w:val="auto"/>
          <w:sz w:val="21"/>
          <w:szCs w:val="24"/>
          <w:highlight w:val="none"/>
        </w:rPr>
        <w:t>）</w:t>
      </w:r>
      <w:r>
        <w:rPr>
          <w:rFonts w:hint="eastAsia" w:hAnsi="宋体"/>
          <w:color w:val="auto"/>
          <w:sz w:val="21"/>
          <w:szCs w:val="24"/>
          <w:highlight w:val="none"/>
        </w:rPr>
        <w:t>元件分析后表明要求的检测间隔时间足以在发生故障前发现并解决问题。</w:t>
      </w:r>
    </w:p>
    <w:p>
      <w:pPr>
        <w:tabs>
          <w:tab w:val="left" w:pos="900"/>
        </w:tabs>
        <w:overflowPunct w:val="0"/>
        <w:snapToGrid w:val="0"/>
        <w:ind w:left="360"/>
        <w:rPr>
          <w:rFonts w:hAnsi="宋体"/>
          <w:color w:val="auto"/>
          <w:sz w:val="21"/>
          <w:szCs w:val="21"/>
          <w:highlight w:val="none"/>
        </w:rPr>
      </w:pPr>
      <w:r>
        <w:rPr>
          <w:rFonts w:hint="eastAsia" w:hAnsi="宋体"/>
          <w:color w:val="auto"/>
          <w:sz w:val="21"/>
          <w:szCs w:val="24"/>
          <w:highlight w:val="none"/>
        </w:rPr>
        <w:t>（3）系统设计要求元件冗余，其要求在故障后能维持系统持续安全运行至故障被监测设备检测到或在正常的检查中被发现。万一这些元件或组件故障，逆变器系统应维持在</w:t>
      </w:r>
      <w:r>
        <w:rPr>
          <w:rFonts w:hint="eastAsia" w:hAnsi="宋体"/>
          <w:color w:val="auto"/>
          <w:sz w:val="21"/>
          <w:szCs w:val="21"/>
          <w:highlight w:val="none"/>
        </w:rPr>
        <w:t>一个非危险状态。</w:t>
      </w:r>
    </w:p>
    <w:p>
      <w:pPr>
        <w:overflowPunct w:val="0"/>
        <w:adjustRightInd w:val="0"/>
        <w:snapToGrid w:val="0"/>
        <w:jc w:val="left"/>
        <w:textAlignment w:val="baseline"/>
        <w:outlineLvl w:val="2"/>
        <w:rPr>
          <w:rFonts w:ascii="宋体" w:hAnsi="宋体"/>
          <w:color w:val="auto"/>
          <w:kern w:val="0"/>
          <w:sz w:val="21"/>
          <w:szCs w:val="21"/>
          <w:highlight w:val="none"/>
        </w:rPr>
      </w:pPr>
      <w:bookmarkStart w:id="509" w:name="_Toc510722346"/>
      <w:bookmarkStart w:id="510" w:name="_Toc510683384"/>
      <w:r>
        <w:rPr>
          <w:rFonts w:hint="eastAsia" w:ascii="宋体" w:hAnsi="宋体"/>
          <w:color w:val="auto"/>
          <w:kern w:val="0"/>
          <w:sz w:val="21"/>
          <w:szCs w:val="21"/>
          <w:highlight w:val="none"/>
        </w:rPr>
        <w:t>2.3 材料</w:t>
      </w:r>
      <w:bookmarkEnd w:id="509"/>
      <w:bookmarkEnd w:id="510"/>
    </w:p>
    <w:p>
      <w:pPr>
        <w:snapToGrid w:val="0"/>
        <w:rPr>
          <w:rFonts w:hAnsi="宋体"/>
          <w:color w:val="auto"/>
          <w:sz w:val="21"/>
          <w:szCs w:val="24"/>
          <w:highlight w:val="none"/>
        </w:rPr>
      </w:pPr>
      <w:r>
        <w:rPr>
          <w:rFonts w:hint="eastAsia" w:hAnsi="宋体"/>
          <w:color w:val="auto"/>
          <w:sz w:val="21"/>
          <w:szCs w:val="24"/>
          <w:highlight w:val="none"/>
        </w:rPr>
        <w:t xml:space="preserve">    用于制造生产逆变器的全部材料都要是全新的，没有缺陷和损伤。在这里使用缺陷和损伤这个术语是指的不完美性，即材料的型号和品级不满足设计规定的标准。所有的材料都要适合各光伏电站现场规定的温度和其它条件。更换的部件必须是新的，而不应对旧部件修理或整修代替。</w:t>
      </w:r>
    </w:p>
    <w:p>
      <w:pPr>
        <w:overflowPunct w:val="0"/>
        <w:adjustRightInd w:val="0"/>
        <w:snapToGrid w:val="0"/>
        <w:jc w:val="left"/>
        <w:textAlignment w:val="baseline"/>
        <w:outlineLvl w:val="2"/>
        <w:rPr>
          <w:rFonts w:ascii="宋体" w:hAnsi="宋体"/>
          <w:color w:val="auto"/>
          <w:kern w:val="0"/>
          <w:sz w:val="21"/>
          <w:szCs w:val="21"/>
          <w:highlight w:val="none"/>
        </w:rPr>
      </w:pPr>
      <w:bookmarkStart w:id="511" w:name="_Toc510683385"/>
      <w:bookmarkStart w:id="512" w:name="_Toc510722347"/>
      <w:r>
        <w:rPr>
          <w:rFonts w:hint="eastAsia" w:ascii="宋体" w:hAnsi="宋体"/>
          <w:color w:val="auto"/>
          <w:kern w:val="0"/>
          <w:sz w:val="21"/>
          <w:szCs w:val="21"/>
          <w:highlight w:val="none"/>
        </w:rPr>
        <w:t>2.4 修整</w:t>
      </w:r>
      <w:bookmarkEnd w:id="511"/>
      <w:bookmarkEnd w:id="512"/>
    </w:p>
    <w:p>
      <w:pPr>
        <w:snapToGrid w:val="0"/>
        <w:rPr>
          <w:rFonts w:hAnsi="宋体"/>
          <w:color w:val="auto"/>
          <w:sz w:val="21"/>
          <w:szCs w:val="24"/>
          <w:highlight w:val="none"/>
        </w:rPr>
      </w:pPr>
      <w:r>
        <w:rPr>
          <w:rFonts w:hint="eastAsia" w:hAnsi="宋体"/>
          <w:color w:val="auto"/>
          <w:sz w:val="21"/>
          <w:szCs w:val="24"/>
          <w:highlight w:val="none"/>
        </w:rPr>
        <w:t xml:space="preserve">    非天然坚固的材料须进行处理或修整，以便保护其表面的完整性。目的是至少在10年内不须重新修整。</w:t>
      </w:r>
    </w:p>
    <w:p>
      <w:pPr>
        <w:snapToGrid w:val="0"/>
        <w:ind w:firstLine="570"/>
        <w:rPr>
          <w:rFonts w:hAnsi="宋体"/>
          <w:color w:val="auto"/>
          <w:sz w:val="21"/>
          <w:szCs w:val="24"/>
          <w:highlight w:val="none"/>
        </w:rPr>
      </w:pPr>
      <w:r>
        <w:rPr>
          <w:rFonts w:hint="eastAsia" w:hAnsi="宋体"/>
          <w:color w:val="auto"/>
          <w:sz w:val="21"/>
          <w:szCs w:val="24"/>
          <w:highlight w:val="none"/>
        </w:rPr>
        <w:t>逆变器外表面上的标志，包括制造厂的名称及其颜色，尺寸和形状均采用</w:t>
      </w:r>
      <w:r>
        <w:rPr>
          <w:rFonts w:hAnsi="宋体"/>
          <w:color w:val="auto"/>
          <w:sz w:val="21"/>
          <w:szCs w:val="24"/>
          <w:highlight w:val="none"/>
        </w:rPr>
        <w:t>企业标准，</w:t>
      </w:r>
      <w:r>
        <w:rPr>
          <w:rFonts w:hint="eastAsia" w:hAnsi="宋体"/>
          <w:color w:val="auto"/>
          <w:sz w:val="21"/>
          <w:szCs w:val="24"/>
          <w:highlight w:val="none"/>
        </w:rPr>
        <w:t>并</w:t>
      </w:r>
      <w:r>
        <w:rPr>
          <w:rFonts w:hAnsi="宋体"/>
          <w:color w:val="auto"/>
          <w:sz w:val="21"/>
          <w:szCs w:val="24"/>
          <w:highlight w:val="none"/>
        </w:rPr>
        <w:t>经过</w:t>
      </w:r>
      <w:r>
        <w:rPr>
          <w:rFonts w:hint="eastAsia" w:hAnsi="宋体"/>
          <w:color w:val="auto"/>
          <w:sz w:val="21"/>
          <w:szCs w:val="24"/>
          <w:highlight w:val="none"/>
        </w:rPr>
        <w:t>招标方认可。</w:t>
      </w:r>
    </w:p>
    <w:p>
      <w:pPr>
        <w:overflowPunct w:val="0"/>
        <w:adjustRightInd w:val="0"/>
        <w:snapToGrid w:val="0"/>
        <w:jc w:val="left"/>
        <w:textAlignment w:val="baseline"/>
        <w:outlineLvl w:val="2"/>
        <w:rPr>
          <w:rFonts w:ascii="宋体" w:hAnsi="宋体"/>
          <w:color w:val="auto"/>
          <w:kern w:val="0"/>
          <w:sz w:val="21"/>
          <w:szCs w:val="21"/>
          <w:highlight w:val="none"/>
        </w:rPr>
      </w:pPr>
      <w:bookmarkStart w:id="513" w:name="_Toc510722348"/>
      <w:bookmarkStart w:id="514" w:name="_Toc510683386"/>
      <w:r>
        <w:rPr>
          <w:rFonts w:hint="eastAsia" w:ascii="宋体" w:hAnsi="宋体"/>
          <w:color w:val="auto"/>
          <w:kern w:val="0"/>
          <w:sz w:val="21"/>
          <w:szCs w:val="21"/>
          <w:highlight w:val="none"/>
        </w:rPr>
        <w:t>2.5 维护和安全设计</w:t>
      </w:r>
      <w:bookmarkEnd w:id="513"/>
      <w:bookmarkEnd w:id="514"/>
    </w:p>
    <w:p>
      <w:pPr>
        <w:snapToGrid w:val="0"/>
        <w:rPr>
          <w:rFonts w:hAnsi="宋体"/>
          <w:dstrike/>
          <w:color w:val="auto"/>
          <w:sz w:val="21"/>
          <w:szCs w:val="24"/>
          <w:highlight w:val="none"/>
        </w:rPr>
      </w:pPr>
      <w:r>
        <w:rPr>
          <w:rFonts w:hint="eastAsia" w:hAnsi="宋体"/>
          <w:color w:val="auto"/>
          <w:sz w:val="21"/>
          <w:szCs w:val="24"/>
          <w:highlight w:val="none"/>
        </w:rPr>
        <w:t xml:space="preserve">    逆变器的设计应便于维护和维修。总重量超过20公斤的部件，或者增加附属装置连接点，或者做一个链钩用来搬运。</w:t>
      </w:r>
    </w:p>
    <w:p>
      <w:pPr>
        <w:snapToGrid w:val="0"/>
        <w:rPr>
          <w:rFonts w:hAnsi="宋体"/>
          <w:color w:val="auto"/>
          <w:sz w:val="21"/>
          <w:szCs w:val="24"/>
          <w:highlight w:val="none"/>
        </w:rPr>
      </w:pPr>
      <w:r>
        <w:rPr>
          <w:rFonts w:hint="eastAsia" w:hAnsi="宋体"/>
          <w:color w:val="auto"/>
          <w:sz w:val="21"/>
          <w:szCs w:val="24"/>
          <w:highlight w:val="none"/>
        </w:rPr>
        <w:t xml:space="preserve">    为确保人员的安全，设计应考虑下列内容：</w:t>
      </w:r>
    </w:p>
    <w:p>
      <w:pPr>
        <w:numPr>
          <w:ilvl w:val="0"/>
          <w:numId w:val="7"/>
        </w:numPr>
        <w:tabs>
          <w:tab w:val="left" w:pos="900"/>
          <w:tab w:val="clear" w:pos="1260"/>
        </w:tabs>
        <w:overflowPunct w:val="0"/>
        <w:snapToGrid w:val="0"/>
        <w:ind w:left="851" w:firstLine="283"/>
        <w:rPr>
          <w:rFonts w:hAnsi="宋体"/>
          <w:color w:val="auto"/>
          <w:sz w:val="21"/>
          <w:szCs w:val="24"/>
          <w:highlight w:val="none"/>
        </w:rPr>
      </w:pPr>
      <w:r>
        <w:rPr>
          <w:rFonts w:hint="eastAsia" w:hAnsi="宋体"/>
          <w:color w:val="auto"/>
          <w:sz w:val="21"/>
          <w:szCs w:val="24"/>
          <w:highlight w:val="none"/>
        </w:rPr>
        <w:t>对带电体设置警告标志</w:t>
      </w:r>
    </w:p>
    <w:p>
      <w:pPr>
        <w:numPr>
          <w:ilvl w:val="0"/>
          <w:numId w:val="7"/>
        </w:numPr>
        <w:tabs>
          <w:tab w:val="left" w:pos="900"/>
          <w:tab w:val="clear" w:pos="1260"/>
        </w:tabs>
        <w:overflowPunct w:val="0"/>
        <w:snapToGrid w:val="0"/>
        <w:ind w:left="851" w:firstLine="283"/>
        <w:rPr>
          <w:rFonts w:hAnsi="宋体"/>
          <w:color w:val="auto"/>
          <w:sz w:val="21"/>
          <w:szCs w:val="24"/>
          <w:highlight w:val="none"/>
        </w:rPr>
      </w:pPr>
      <w:r>
        <w:rPr>
          <w:rFonts w:hint="eastAsia" w:hAnsi="宋体"/>
          <w:color w:val="auto"/>
          <w:sz w:val="21"/>
          <w:szCs w:val="24"/>
          <w:highlight w:val="none"/>
        </w:rPr>
        <w:t>提供雷电放电装置</w:t>
      </w:r>
    </w:p>
    <w:p>
      <w:pPr>
        <w:numPr>
          <w:ilvl w:val="0"/>
          <w:numId w:val="7"/>
        </w:numPr>
        <w:tabs>
          <w:tab w:val="left" w:pos="900"/>
          <w:tab w:val="clear" w:pos="1260"/>
        </w:tabs>
        <w:overflowPunct w:val="0"/>
        <w:snapToGrid w:val="0"/>
        <w:ind w:left="851" w:firstLine="283"/>
        <w:rPr>
          <w:rFonts w:hAnsi="宋体"/>
          <w:color w:val="auto"/>
          <w:sz w:val="21"/>
          <w:szCs w:val="24"/>
          <w:highlight w:val="none"/>
        </w:rPr>
      </w:pPr>
      <w:r>
        <w:rPr>
          <w:rFonts w:hint="eastAsia" w:hAnsi="宋体"/>
          <w:color w:val="auto"/>
          <w:sz w:val="21"/>
          <w:szCs w:val="24"/>
          <w:highlight w:val="none"/>
        </w:rPr>
        <w:t>逆变器箱体内要有充足的照明或提供必要的照明装置</w:t>
      </w:r>
    </w:p>
    <w:p>
      <w:pPr>
        <w:numPr>
          <w:ilvl w:val="0"/>
          <w:numId w:val="7"/>
        </w:numPr>
        <w:tabs>
          <w:tab w:val="left" w:pos="900"/>
          <w:tab w:val="clear" w:pos="1260"/>
        </w:tabs>
        <w:overflowPunct w:val="0"/>
        <w:snapToGrid w:val="0"/>
        <w:ind w:left="851" w:firstLine="283"/>
        <w:rPr>
          <w:rFonts w:hAnsi="宋体"/>
          <w:color w:val="auto"/>
          <w:sz w:val="21"/>
          <w:szCs w:val="24"/>
          <w:highlight w:val="none"/>
        </w:rPr>
      </w:pPr>
      <w:r>
        <w:rPr>
          <w:rFonts w:hint="eastAsia" w:hAnsi="宋体"/>
          <w:color w:val="auto"/>
          <w:sz w:val="21"/>
          <w:szCs w:val="24"/>
          <w:highlight w:val="none"/>
        </w:rPr>
        <w:t>应设置事故停机按钮</w:t>
      </w:r>
    </w:p>
    <w:p>
      <w:pPr>
        <w:numPr>
          <w:ilvl w:val="0"/>
          <w:numId w:val="7"/>
        </w:numPr>
        <w:tabs>
          <w:tab w:val="left" w:pos="900"/>
          <w:tab w:val="clear" w:pos="1260"/>
        </w:tabs>
        <w:overflowPunct w:val="0"/>
        <w:snapToGrid w:val="0"/>
        <w:ind w:left="851" w:firstLine="283"/>
        <w:rPr>
          <w:rFonts w:hAnsi="宋体"/>
          <w:color w:val="auto"/>
          <w:sz w:val="21"/>
          <w:szCs w:val="24"/>
          <w:highlight w:val="none"/>
        </w:rPr>
      </w:pPr>
      <w:r>
        <w:rPr>
          <w:rFonts w:hint="eastAsia" w:hAnsi="宋体"/>
          <w:color w:val="auto"/>
          <w:sz w:val="21"/>
          <w:szCs w:val="24"/>
          <w:highlight w:val="none"/>
        </w:rPr>
        <w:t>在维修期间，切断远方监控功能</w:t>
      </w:r>
    </w:p>
    <w:p>
      <w:pPr>
        <w:snapToGrid w:val="0"/>
        <w:rPr>
          <w:rFonts w:hAnsi="宋体"/>
          <w:color w:val="auto"/>
          <w:sz w:val="21"/>
          <w:szCs w:val="24"/>
          <w:highlight w:val="none"/>
        </w:rPr>
      </w:pPr>
      <w:r>
        <w:rPr>
          <w:rFonts w:hint="eastAsia" w:hAnsi="宋体"/>
          <w:color w:val="auto"/>
          <w:sz w:val="21"/>
          <w:szCs w:val="24"/>
          <w:highlight w:val="none"/>
        </w:rPr>
        <w:t xml:space="preserve">    逆变器应至少具有下列维修和安全特性：</w:t>
      </w:r>
    </w:p>
    <w:p>
      <w:pPr>
        <w:numPr>
          <w:ilvl w:val="0"/>
          <w:numId w:val="8"/>
        </w:numPr>
        <w:tabs>
          <w:tab w:val="left" w:pos="900"/>
        </w:tabs>
        <w:overflowPunct w:val="0"/>
        <w:snapToGrid w:val="0"/>
        <w:ind w:hanging="126"/>
        <w:rPr>
          <w:rFonts w:hAnsi="宋体"/>
          <w:color w:val="auto"/>
          <w:sz w:val="21"/>
          <w:szCs w:val="24"/>
          <w:highlight w:val="none"/>
        </w:rPr>
      </w:pPr>
      <w:r>
        <w:rPr>
          <w:rFonts w:hint="eastAsia" w:hAnsi="宋体"/>
          <w:color w:val="auto"/>
          <w:sz w:val="21"/>
          <w:szCs w:val="24"/>
          <w:highlight w:val="none"/>
        </w:rPr>
        <w:t>出现故障时，自动停机</w:t>
      </w:r>
    </w:p>
    <w:p>
      <w:pPr>
        <w:numPr>
          <w:ilvl w:val="0"/>
          <w:numId w:val="8"/>
        </w:numPr>
        <w:tabs>
          <w:tab w:val="left" w:pos="900"/>
        </w:tabs>
        <w:overflowPunct w:val="0"/>
        <w:snapToGrid w:val="0"/>
        <w:ind w:hanging="126"/>
        <w:rPr>
          <w:rFonts w:hAnsi="宋体"/>
          <w:color w:val="auto"/>
          <w:sz w:val="21"/>
          <w:szCs w:val="24"/>
          <w:highlight w:val="none"/>
        </w:rPr>
      </w:pPr>
      <w:r>
        <w:rPr>
          <w:rFonts w:hint="eastAsia" w:hAnsi="宋体"/>
          <w:color w:val="auto"/>
          <w:sz w:val="21"/>
          <w:szCs w:val="24"/>
          <w:highlight w:val="none"/>
        </w:rPr>
        <w:t>就地和远距离监视性能和运行状态</w:t>
      </w:r>
    </w:p>
    <w:p>
      <w:pPr>
        <w:numPr>
          <w:ilvl w:val="0"/>
          <w:numId w:val="8"/>
        </w:numPr>
        <w:tabs>
          <w:tab w:val="left" w:pos="900"/>
        </w:tabs>
        <w:overflowPunct w:val="0"/>
        <w:snapToGrid w:val="0"/>
        <w:ind w:hanging="126"/>
        <w:rPr>
          <w:rFonts w:hAnsi="宋体"/>
          <w:color w:val="auto"/>
          <w:sz w:val="21"/>
          <w:szCs w:val="24"/>
          <w:highlight w:val="none"/>
        </w:rPr>
      </w:pPr>
      <w:r>
        <w:rPr>
          <w:rFonts w:hint="eastAsia" w:hAnsi="宋体"/>
          <w:color w:val="auto"/>
          <w:sz w:val="21"/>
          <w:szCs w:val="24"/>
          <w:highlight w:val="none"/>
        </w:rPr>
        <w:t>需要搬运材料的部件上设附属装置</w:t>
      </w:r>
    </w:p>
    <w:p>
      <w:pPr>
        <w:overflowPunct w:val="0"/>
        <w:adjustRightInd w:val="0"/>
        <w:snapToGrid w:val="0"/>
        <w:jc w:val="left"/>
        <w:textAlignment w:val="baseline"/>
        <w:outlineLvl w:val="2"/>
        <w:rPr>
          <w:rFonts w:ascii="宋体" w:hAnsi="宋体"/>
          <w:color w:val="auto"/>
          <w:kern w:val="0"/>
          <w:sz w:val="21"/>
          <w:szCs w:val="21"/>
          <w:highlight w:val="none"/>
        </w:rPr>
      </w:pPr>
      <w:bookmarkStart w:id="515" w:name="_Toc510722349"/>
      <w:bookmarkStart w:id="516" w:name="_Toc510683387"/>
      <w:r>
        <w:rPr>
          <w:rFonts w:hint="eastAsia" w:ascii="宋体" w:hAnsi="宋体"/>
          <w:color w:val="auto"/>
          <w:kern w:val="0"/>
          <w:sz w:val="21"/>
          <w:szCs w:val="21"/>
          <w:highlight w:val="none"/>
        </w:rPr>
        <w:t>2.6 铭牌和标志</w:t>
      </w:r>
      <w:bookmarkEnd w:id="515"/>
      <w:bookmarkEnd w:id="516"/>
    </w:p>
    <w:p>
      <w:pPr>
        <w:snapToGrid w:val="0"/>
        <w:rPr>
          <w:rFonts w:hAnsi="宋体"/>
          <w:color w:val="auto"/>
          <w:sz w:val="21"/>
          <w:szCs w:val="24"/>
          <w:highlight w:val="none"/>
        </w:rPr>
      </w:pPr>
      <w:r>
        <w:rPr>
          <w:rFonts w:hint="eastAsia" w:hAnsi="宋体"/>
          <w:color w:val="auto"/>
          <w:sz w:val="21"/>
          <w:szCs w:val="24"/>
          <w:highlight w:val="none"/>
        </w:rPr>
        <w:t xml:space="preserve">    逆变器主要部件，以及列入备品备件清单的都要标明部件编号和制造厂的名称。</w:t>
      </w:r>
    </w:p>
    <w:p>
      <w:pPr>
        <w:snapToGrid w:val="0"/>
        <w:rPr>
          <w:rFonts w:hAnsi="宋体"/>
          <w:color w:val="auto"/>
          <w:sz w:val="21"/>
          <w:szCs w:val="24"/>
          <w:highlight w:val="none"/>
        </w:rPr>
      </w:pPr>
      <w:r>
        <w:rPr>
          <w:rFonts w:hint="eastAsia" w:hAnsi="宋体"/>
          <w:color w:val="auto"/>
          <w:sz w:val="21"/>
          <w:szCs w:val="24"/>
          <w:highlight w:val="none"/>
        </w:rPr>
        <w:t xml:space="preserve">    每台逆变器都要有永久性标志，标出以下内容：</w:t>
      </w:r>
    </w:p>
    <w:p>
      <w:pPr>
        <w:numPr>
          <w:ilvl w:val="0"/>
          <w:numId w:val="9"/>
        </w:numPr>
        <w:tabs>
          <w:tab w:val="left" w:pos="1080"/>
        </w:tabs>
        <w:overflowPunct w:val="0"/>
        <w:snapToGrid w:val="0"/>
        <w:ind w:hanging="720"/>
        <w:rPr>
          <w:rFonts w:hAnsi="宋体"/>
          <w:color w:val="auto"/>
          <w:sz w:val="21"/>
          <w:szCs w:val="24"/>
          <w:highlight w:val="none"/>
        </w:rPr>
      </w:pPr>
      <w:r>
        <w:rPr>
          <w:rFonts w:hint="eastAsia" w:hAnsi="宋体"/>
          <w:color w:val="auto"/>
          <w:sz w:val="21"/>
          <w:szCs w:val="24"/>
          <w:highlight w:val="none"/>
        </w:rPr>
        <w:t xml:space="preserve">型号                   </w:t>
      </w:r>
    </w:p>
    <w:p>
      <w:pPr>
        <w:numPr>
          <w:ilvl w:val="0"/>
          <w:numId w:val="9"/>
        </w:numPr>
        <w:tabs>
          <w:tab w:val="left" w:pos="1080"/>
        </w:tabs>
        <w:overflowPunct w:val="0"/>
        <w:snapToGrid w:val="0"/>
        <w:ind w:hanging="720"/>
        <w:rPr>
          <w:rFonts w:hAnsi="宋体"/>
          <w:color w:val="auto"/>
          <w:sz w:val="21"/>
          <w:szCs w:val="24"/>
          <w:highlight w:val="none"/>
        </w:rPr>
      </w:pPr>
      <w:r>
        <w:rPr>
          <w:rFonts w:hint="eastAsia" w:hAnsi="宋体"/>
          <w:color w:val="auto"/>
          <w:sz w:val="21"/>
          <w:szCs w:val="24"/>
          <w:highlight w:val="none"/>
        </w:rPr>
        <w:t>功率因数和额定功率</w:t>
      </w:r>
    </w:p>
    <w:p>
      <w:pPr>
        <w:numPr>
          <w:ilvl w:val="0"/>
          <w:numId w:val="9"/>
        </w:numPr>
        <w:tabs>
          <w:tab w:val="left" w:pos="1080"/>
        </w:tabs>
        <w:overflowPunct w:val="0"/>
        <w:snapToGrid w:val="0"/>
        <w:ind w:hanging="720"/>
        <w:rPr>
          <w:rFonts w:hAnsi="宋体"/>
          <w:color w:val="auto"/>
          <w:sz w:val="21"/>
          <w:szCs w:val="24"/>
          <w:highlight w:val="none"/>
        </w:rPr>
      </w:pPr>
      <w:r>
        <w:rPr>
          <w:rFonts w:hint="eastAsia" w:hAnsi="宋体"/>
          <w:color w:val="auto"/>
          <w:sz w:val="21"/>
          <w:szCs w:val="24"/>
          <w:highlight w:val="none"/>
        </w:rPr>
        <w:t>额定频率</w:t>
      </w:r>
    </w:p>
    <w:p>
      <w:pPr>
        <w:numPr>
          <w:ilvl w:val="0"/>
          <w:numId w:val="9"/>
        </w:numPr>
        <w:tabs>
          <w:tab w:val="left" w:pos="1080"/>
        </w:tabs>
        <w:overflowPunct w:val="0"/>
        <w:snapToGrid w:val="0"/>
        <w:ind w:hanging="720"/>
        <w:rPr>
          <w:rFonts w:hAnsi="宋体"/>
          <w:color w:val="auto"/>
          <w:sz w:val="21"/>
          <w:szCs w:val="24"/>
          <w:highlight w:val="none"/>
        </w:rPr>
      </w:pPr>
      <w:r>
        <w:rPr>
          <w:rFonts w:hint="eastAsia" w:hAnsi="宋体"/>
          <w:color w:val="auto"/>
          <w:sz w:val="21"/>
          <w:szCs w:val="24"/>
          <w:highlight w:val="none"/>
        </w:rPr>
        <w:t xml:space="preserve">相数                     </w:t>
      </w:r>
    </w:p>
    <w:p>
      <w:pPr>
        <w:numPr>
          <w:ilvl w:val="0"/>
          <w:numId w:val="9"/>
        </w:numPr>
        <w:tabs>
          <w:tab w:val="left" w:pos="1080"/>
        </w:tabs>
        <w:overflowPunct w:val="0"/>
        <w:snapToGrid w:val="0"/>
        <w:ind w:hanging="720"/>
        <w:rPr>
          <w:rFonts w:hAnsi="宋体"/>
          <w:color w:val="auto"/>
          <w:sz w:val="21"/>
          <w:szCs w:val="24"/>
          <w:highlight w:val="none"/>
        </w:rPr>
      </w:pPr>
      <w:r>
        <w:rPr>
          <w:rFonts w:hint="eastAsia" w:hAnsi="宋体"/>
          <w:color w:val="auto"/>
          <w:sz w:val="21"/>
          <w:szCs w:val="24"/>
          <w:highlight w:val="none"/>
        </w:rPr>
        <w:t>输出电压</w:t>
      </w:r>
    </w:p>
    <w:p>
      <w:pPr>
        <w:numPr>
          <w:ilvl w:val="0"/>
          <w:numId w:val="9"/>
        </w:numPr>
        <w:tabs>
          <w:tab w:val="left" w:pos="1080"/>
        </w:tabs>
        <w:overflowPunct w:val="0"/>
        <w:snapToGrid w:val="0"/>
        <w:ind w:hanging="720"/>
        <w:rPr>
          <w:rFonts w:hAnsi="宋体"/>
          <w:color w:val="auto"/>
          <w:sz w:val="21"/>
          <w:szCs w:val="24"/>
          <w:highlight w:val="none"/>
        </w:rPr>
      </w:pPr>
      <w:r>
        <w:rPr>
          <w:rFonts w:hint="eastAsia" w:hAnsi="宋体"/>
          <w:color w:val="auto"/>
          <w:sz w:val="21"/>
          <w:szCs w:val="24"/>
          <w:highlight w:val="none"/>
        </w:rPr>
        <w:t>制造厂</w:t>
      </w:r>
    </w:p>
    <w:p>
      <w:pPr>
        <w:numPr>
          <w:ilvl w:val="0"/>
          <w:numId w:val="9"/>
        </w:numPr>
        <w:tabs>
          <w:tab w:val="left" w:pos="1080"/>
        </w:tabs>
        <w:overflowPunct w:val="0"/>
        <w:snapToGrid w:val="0"/>
        <w:ind w:hanging="720"/>
        <w:rPr>
          <w:rFonts w:hAnsi="宋体"/>
          <w:color w:val="auto"/>
          <w:sz w:val="21"/>
          <w:szCs w:val="21"/>
          <w:highlight w:val="none"/>
        </w:rPr>
      </w:pPr>
      <w:r>
        <w:rPr>
          <w:rFonts w:hint="eastAsia" w:hAnsi="宋体"/>
          <w:color w:val="auto"/>
          <w:sz w:val="21"/>
          <w:szCs w:val="21"/>
          <w:highlight w:val="none"/>
        </w:rPr>
        <w:t>制造日期</w:t>
      </w:r>
    </w:p>
    <w:p>
      <w:pPr>
        <w:overflowPunct w:val="0"/>
        <w:adjustRightInd w:val="0"/>
        <w:snapToGrid w:val="0"/>
        <w:jc w:val="left"/>
        <w:textAlignment w:val="baseline"/>
        <w:outlineLvl w:val="2"/>
        <w:rPr>
          <w:rFonts w:ascii="宋体" w:hAnsi="宋体"/>
          <w:color w:val="auto"/>
          <w:kern w:val="0"/>
          <w:sz w:val="21"/>
          <w:szCs w:val="21"/>
          <w:highlight w:val="none"/>
        </w:rPr>
      </w:pPr>
      <w:r>
        <w:rPr>
          <w:rFonts w:hint="eastAsia" w:ascii="宋体" w:hAnsi="宋体"/>
          <w:color w:val="auto"/>
          <w:kern w:val="0"/>
          <w:sz w:val="21"/>
          <w:szCs w:val="21"/>
          <w:highlight w:val="none"/>
        </w:rPr>
        <w:t>2</w:t>
      </w:r>
      <w:r>
        <w:rPr>
          <w:rFonts w:ascii="宋体" w:hAnsi="宋体"/>
          <w:color w:val="auto"/>
          <w:kern w:val="0"/>
          <w:sz w:val="21"/>
          <w:szCs w:val="21"/>
          <w:highlight w:val="none"/>
        </w:rPr>
        <w:t xml:space="preserve">.7 </w:t>
      </w:r>
      <w:r>
        <w:rPr>
          <w:rFonts w:hint="eastAsia" w:ascii="宋体" w:hAnsi="宋体"/>
          <w:color w:val="auto"/>
          <w:kern w:val="0"/>
          <w:sz w:val="21"/>
          <w:szCs w:val="21"/>
          <w:highlight w:val="none"/>
        </w:rPr>
        <w:t>主要保护功能动作条件、保护动作逻辑表</w:t>
      </w:r>
    </w:p>
    <w:p>
      <w:pPr>
        <w:pStyle w:val="75"/>
        <w:ind w:firstLine="420"/>
        <w:rPr>
          <w:rFonts w:ascii="宋体" w:cs="宋体"/>
          <w:color w:val="auto"/>
          <w:sz w:val="21"/>
          <w:szCs w:val="21"/>
          <w:highlight w:val="none"/>
        </w:rPr>
      </w:pPr>
      <w:r>
        <w:rPr>
          <w:rFonts w:hint="eastAsia" w:ascii="宋体" w:cs="宋体"/>
          <w:color w:val="auto"/>
          <w:sz w:val="21"/>
          <w:szCs w:val="21"/>
          <w:highlight w:val="none"/>
        </w:rPr>
        <w:t>投标方应提供逆变器的主要保护功能动作条件和保护动作逻辑表。</w:t>
      </w:r>
    </w:p>
    <w:p>
      <w:pPr>
        <w:overflowPunct w:val="0"/>
        <w:adjustRightInd w:val="0"/>
        <w:snapToGrid w:val="0"/>
        <w:jc w:val="left"/>
        <w:textAlignment w:val="baseline"/>
        <w:outlineLvl w:val="2"/>
        <w:rPr>
          <w:rFonts w:ascii="宋体" w:hAnsi="宋体"/>
          <w:color w:val="auto"/>
          <w:kern w:val="0"/>
          <w:sz w:val="21"/>
          <w:szCs w:val="21"/>
          <w:highlight w:val="none"/>
        </w:rPr>
      </w:pPr>
      <w:r>
        <w:rPr>
          <w:rFonts w:hint="eastAsia" w:ascii="宋体" w:hAnsi="宋体"/>
          <w:color w:val="auto"/>
          <w:kern w:val="0"/>
          <w:sz w:val="21"/>
          <w:szCs w:val="21"/>
          <w:highlight w:val="none"/>
        </w:rPr>
        <w:t>2</w:t>
      </w:r>
      <w:r>
        <w:rPr>
          <w:rFonts w:ascii="宋体" w:hAnsi="宋体"/>
          <w:color w:val="auto"/>
          <w:kern w:val="0"/>
          <w:sz w:val="21"/>
          <w:szCs w:val="21"/>
          <w:highlight w:val="none"/>
        </w:rPr>
        <w:t xml:space="preserve">.8 </w:t>
      </w:r>
      <w:r>
        <w:rPr>
          <w:rFonts w:hint="eastAsia" w:ascii="宋体" w:hAnsi="宋体"/>
          <w:color w:val="auto"/>
          <w:kern w:val="0"/>
          <w:sz w:val="21"/>
          <w:szCs w:val="21"/>
          <w:highlight w:val="none"/>
        </w:rPr>
        <w:t>智能通讯箱</w:t>
      </w:r>
    </w:p>
    <w:p>
      <w:pPr>
        <w:pStyle w:val="75"/>
        <w:ind w:firstLine="420"/>
        <w:rPr>
          <w:rFonts w:ascii="宋体" w:cs="Times New Roman"/>
          <w:color w:val="auto"/>
          <w:kern w:val="0"/>
          <w:sz w:val="21"/>
          <w:szCs w:val="21"/>
          <w:highlight w:val="none"/>
        </w:rPr>
      </w:pPr>
      <w:r>
        <w:rPr>
          <w:rFonts w:hint="eastAsia" w:ascii="宋体" w:cs="Times New Roman"/>
          <w:color w:val="auto"/>
          <w:kern w:val="0"/>
          <w:sz w:val="21"/>
          <w:szCs w:val="21"/>
          <w:highlight w:val="none"/>
        </w:rPr>
        <w:t>智能</w:t>
      </w:r>
      <w:r>
        <w:rPr>
          <w:rFonts w:hint="eastAsia" w:ascii="宋体"/>
          <w:color w:val="auto"/>
          <w:kern w:val="0"/>
          <w:sz w:val="21"/>
          <w:szCs w:val="21"/>
          <w:highlight w:val="none"/>
        </w:rPr>
        <w:t>通讯</w:t>
      </w:r>
      <w:r>
        <w:rPr>
          <w:rFonts w:hint="eastAsia" w:ascii="宋体" w:cs="Times New Roman"/>
          <w:color w:val="auto"/>
          <w:kern w:val="0"/>
          <w:sz w:val="21"/>
          <w:szCs w:val="21"/>
          <w:highlight w:val="none"/>
        </w:rPr>
        <w:t>箱为户外型，应满足防水、防晒、防盐雾、防尘的要求。</w:t>
      </w:r>
    </w:p>
    <w:p>
      <w:pPr>
        <w:pStyle w:val="75"/>
        <w:ind w:firstLine="420"/>
        <w:rPr>
          <w:rFonts w:ascii="宋体" w:cs="宋体"/>
          <w:color w:val="auto"/>
          <w:sz w:val="21"/>
          <w:szCs w:val="21"/>
          <w:highlight w:val="none"/>
        </w:rPr>
      </w:pPr>
      <w:r>
        <w:rPr>
          <w:rFonts w:hint="eastAsia" w:ascii="宋体" w:cs="Times New Roman"/>
          <w:color w:val="auto"/>
          <w:kern w:val="0"/>
          <w:sz w:val="21"/>
          <w:szCs w:val="21"/>
          <w:highlight w:val="none"/>
        </w:rPr>
        <w:t>配套提供的数据采集器允许工作温度应为</w:t>
      </w:r>
      <w:r>
        <w:rPr>
          <w:rFonts w:hint="eastAsia" w:ascii="宋体" w:cs="宋体"/>
          <w:color w:val="auto"/>
          <w:sz w:val="21"/>
          <w:szCs w:val="21"/>
          <w:highlight w:val="none"/>
        </w:rPr>
        <w:t>-</w:t>
      </w:r>
      <w:r>
        <w:rPr>
          <w:rFonts w:ascii="宋体" w:cs="宋体"/>
          <w:color w:val="auto"/>
          <w:sz w:val="21"/>
          <w:szCs w:val="21"/>
          <w:highlight w:val="none"/>
        </w:rPr>
        <w:t>2</w:t>
      </w:r>
      <w:r>
        <w:rPr>
          <w:rFonts w:hint="eastAsia" w:ascii="宋体" w:cs="宋体"/>
          <w:color w:val="auto"/>
          <w:sz w:val="21"/>
          <w:szCs w:val="21"/>
          <w:highlight w:val="none"/>
        </w:rPr>
        <w:t>0～70℃，且数据采集器应具有与上级监控通信、与逆变器PLC通信、与其他智能设备通信的功能，其通信传输速率应</w:t>
      </w:r>
      <w:r>
        <w:rPr>
          <w:rFonts w:hint="eastAsia" w:ascii="宋体" w:cs="宋体"/>
          <w:bCs/>
          <w:color w:val="auto"/>
          <w:sz w:val="21"/>
          <w:szCs w:val="21"/>
          <w:highlight w:val="none"/>
        </w:rPr>
        <w:t>满足监控后台控制、AGC/AVC调节及一次调频等</w:t>
      </w:r>
      <w:r>
        <w:rPr>
          <w:rFonts w:hint="eastAsia" w:ascii="宋体" w:cs="宋体"/>
          <w:color w:val="auto"/>
          <w:sz w:val="21"/>
          <w:szCs w:val="21"/>
          <w:highlight w:val="none"/>
        </w:rPr>
        <w:t>的需要。</w:t>
      </w:r>
      <w:r>
        <w:rPr>
          <w:rFonts w:hint="eastAsia" w:ascii="宋体" w:cs="宋体"/>
          <w:color w:val="auto"/>
          <w:sz w:val="21"/>
          <w:szCs w:val="21"/>
          <w:highlight w:val="none"/>
        </w:rPr>
        <w:t>通讯箱内</w:t>
      </w:r>
      <w:r>
        <w:rPr>
          <w:rFonts w:hint="eastAsia"/>
          <w:color w:val="auto"/>
          <w:sz w:val="21"/>
          <w:szCs w:val="21"/>
          <w:highlight w:val="none"/>
        </w:rPr>
        <w:t>含数据采集器、PLC模块、PID模块等设备。</w:t>
      </w:r>
    </w:p>
    <w:p>
      <w:pPr>
        <w:overflowPunct w:val="0"/>
        <w:adjustRightInd w:val="0"/>
        <w:snapToGrid w:val="0"/>
        <w:jc w:val="left"/>
        <w:textAlignment w:val="baseline"/>
        <w:outlineLvl w:val="2"/>
        <w:rPr>
          <w:rFonts w:ascii="宋体" w:hAnsi="宋体"/>
          <w:color w:val="auto"/>
          <w:kern w:val="0"/>
          <w:sz w:val="21"/>
          <w:szCs w:val="21"/>
          <w:highlight w:val="none"/>
        </w:rPr>
      </w:pPr>
      <w:r>
        <w:rPr>
          <w:rFonts w:ascii="宋体" w:hAnsi="宋体"/>
          <w:color w:val="auto"/>
          <w:kern w:val="0"/>
          <w:sz w:val="21"/>
          <w:szCs w:val="21"/>
          <w:highlight w:val="none"/>
        </w:rPr>
        <w:t>2.9</w:t>
      </w:r>
      <w:r>
        <w:rPr>
          <w:rFonts w:hint="eastAsia" w:ascii="宋体" w:hAnsi="宋体"/>
          <w:color w:val="auto"/>
          <w:kern w:val="0"/>
          <w:sz w:val="21"/>
          <w:szCs w:val="21"/>
          <w:highlight w:val="none"/>
        </w:rPr>
        <w:t>组件布置情况和逆变器类型配置要求</w:t>
      </w:r>
    </w:p>
    <w:p>
      <w:pPr>
        <w:pStyle w:val="75"/>
        <w:ind w:firstLine="420"/>
        <w:rPr>
          <w:rFonts w:ascii="宋体" w:cs="宋体"/>
          <w:color w:val="auto"/>
          <w:sz w:val="21"/>
          <w:szCs w:val="21"/>
          <w:highlight w:val="none"/>
        </w:rPr>
      </w:pPr>
      <w:r>
        <w:rPr>
          <w:rFonts w:hint="eastAsia" w:ascii="宋体" w:cs="宋体"/>
          <w:color w:val="auto"/>
          <w:sz w:val="21"/>
          <w:szCs w:val="21"/>
          <w:highlight w:val="none"/>
        </w:rPr>
        <w:t>本工程为鱼塘集中式光伏发电项目，组件布置在鱼塘内：</w:t>
      </w:r>
    </w:p>
    <w:p>
      <w:pPr>
        <w:pStyle w:val="75"/>
        <w:ind w:firstLine="420"/>
        <w:rPr>
          <w:rFonts w:ascii="宋体" w:cs="宋体"/>
          <w:color w:val="auto"/>
          <w:sz w:val="21"/>
          <w:szCs w:val="21"/>
          <w:highlight w:val="none"/>
        </w:rPr>
      </w:pPr>
      <w:r>
        <w:rPr>
          <w:rFonts w:hint="eastAsia" w:ascii="宋体" w:cs="宋体"/>
          <w:color w:val="auto"/>
          <w:sz w:val="21"/>
          <w:szCs w:val="21"/>
          <w:highlight w:val="none"/>
        </w:rPr>
        <w:t>本期工程初拟分为1</w:t>
      </w:r>
      <w:r>
        <w:rPr>
          <w:rFonts w:ascii="宋体" w:cs="宋体"/>
          <w:color w:val="auto"/>
          <w:sz w:val="21"/>
          <w:szCs w:val="21"/>
          <w:highlight w:val="none"/>
        </w:rPr>
        <w:t>21</w:t>
      </w:r>
      <w:r>
        <w:rPr>
          <w:rFonts w:hint="eastAsia" w:ascii="宋体" w:cs="宋体"/>
          <w:color w:val="auto"/>
          <w:sz w:val="21"/>
          <w:szCs w:val="21"/>
          <w:highlight w:val="none"/>
        </w:rPr>
        <w:t>个光伏方阵，每个方阵容量约3</w:t>
      </w:r>
      <w:r>
        <w:rPr>
          <w:rFonts w:ascii="宋体" w:cs="宋体"/>
          <w:color w:val="auto"/>
          <w:sz w:val="21"/>
          <w:szCs w:val="21"/>
          <w:highlight w:val="none"/>
        </w:rPr>
        <w:t>.3MW</w:t>
      </w:r>
      <w:r>
        <w:rPr>
          <w:rFonts w:hint="eastAsia" w:ascii="宋体" w:cs="宋体"/>
          <w:color w:val="auto"/>
          <w:sz w:val="21"/>
          <w:szCs w:val="21"/>
          <w:highlight w:val="none"/>
        </w:rPr>
        <w:t>，其中9</w:t>
      </w:r>
      <w:r>
        <w:rPr>
          <w:rFonts w:ascii="宋体" w:cs="宋体"/>
          <w:color w:val="auto"/>
          <w:sz w:val="21"/>
          <w:szCs w:val="21"/>
          <w:highlight w:val="none"/>
        </w:rPr>
        <w:t>7</w:t>
      </w:r>
      <w:r>
        <w:rPr>
          <w:rFonts w:hint="eastAsia" w:ascii="宋体" w:cs="宋体"/>
          <w:color w:val="auto"/>
          <w:sz w:val="21"/>
          <w:szCs w:val="21"/>
          <w:highlight w:val="none"/>
        </w:rPr>
        <w:t>个方阵采用2</w:t>
      </w:r>
      <w:r>
        <w:rPr>
          <w:rFonts w:ascii="宋体" w:cs="宋体"/>
          <w:color w:val="auto"/>
          <w:sz w:val="21"/>
          <w:szCs w:val="21"/>
          <w:highlight w:val="none"/>
        </w:rPr>
        <w:t>10</w:t>
      </w:r>
      <w:r>
        <w:rPr>
          <w:rFonts w:hint="eastAsia" w:ascii="宋体" w:cs="宋体"/>
          <w:color w:val="auto"/>
          <w:sz w:val="21"/>
          <w:szCs w:val="21"/>
          <w:highlight w:val="none"/>
        </w:rPr>
        <w:t>电池片光伏组件，2</w:t>
      </w:r>
      <w:r>
        <w:rPr>
          <w:rFonts w:ascii="宋体" w:cs="宋体"/>
          <w:color w:val="auto"/>
          <w:sz w:val="21"/>
          <w:szCs w:val="21"/>
          <w:highlight w:val="none"/>
        </w:rPr>
        <w:t>4</w:t>
      </w:r>
      <w:r>
        <w:rPr>
          <w:rFonts w:hint="eastAsia" w:ascii="宋体" w:cs="宋体"/>
          <w:color w:val="auto"/>
          <w:sz w:val="21"/>
          <w:szCs w:val="21"/>
          <w:highlight w:val="none"/>
        </w:rPr>
        <w:t>个方阵采用1</w:t>
      </w:r>
      <w:r>
        <w:rPr>
          <w:rFonts w:ascii="宋体" w:cs="宋体"/>
          <w:color w:val="auto"/>
          <w:sz w:val="21"/>
          <w:szCs w:val="21"/>
          <w:highlight w:val="none"/>
        </w:rPr>
        <w:t>82</w:t>
      </w:r>
      <w:r>
        <w:rPr>
          <w:rFonts w:hint="eastAsia" w:ascii="宋体" w:cs="宋体"/>
          <w:color w:val="auto"/>
          <w:sz w:val="21"/>
          <w:szCs w:val="21"/>
          <w:highlight w:val="none"/>
        </w:rPr>
        <w:t>电池片光伏组件，投标方需根据组件布置数量，合理配置组串式逆变器类型和台数。但组串式逆变器类型不应超过3种。</w:t>
      </w:r>
    </w:p>
    <w:p>
      <w:pPr>
        <w:pStyle w:val="75"/>
        <w:ind w:firstLine="420"/>
        <w:rPr>
          <w:rFonts w:ascii="宋体" w:cs="宋体"/>
          <w:color w:val="auto"/>
          <w:sz w:val="21"/>
          <w:szCs w:val="21"/>
          <w:highlight w:val="none"/>
        </w:rPr>
      </w:pPr>
      <w:r>
        <w:rPr>
          <w:rFonts w:hint="eastAsia" w:ascii="宋体" w:cs="宋体"/>
          <w:color w:val="auto"/>
          <w:sz w:val="21"/>
          <w:szCs w:val="21"/>
          <w:highlight w:val="none"/>
        </w:rPr>
        <w:t>项目整体（逆变器）的交直流容配比不超过1：1</w:t>
      </w:r>
      <w:r>
        <w:rPr>
          <w:rFonts w:ascii="宋体" w:cs="宋体"/>
          <w:color w:val="auto"/>
          <w:sz w:val="21"/>
          <w:szCs w:val="21"/>
          <w:highlight w:val="none"/>
        </w:rPr>
        <w:t>.4</w:t>
      </w:r>
      <w:r>
        <w:rPr>
          <w:rFonts w:hint="eastAsia" w:ascii="宋体" w:cs="宋体"/>
          <w:color w:val="auto"/>
          <w:sz w:val="21"/>
          <w:szCs w:val="21"/>
          <w:highlight w:val="none"/>
        </w:rPr>
        <w:t>。逆变器总额定容量（交流侧）不低于</w:t>
      </w:r>
      <w:r>
        <w:rPr>
          <w:rFonts w:ascii="宋体" w:cs="宋体"/>
          <w:color w:val="auto"/>
          <w:sz w:val="21"/>
          <w:szCs w:val="21"/>
          <w:highlight w:val="none"/>
        </w:rPr>
        <w:t>396.3</w:t>
      </w:r>
      <w:r>
        <w:rPr>
          <w:rFonts w:hint="eastAsia" w:ascii="宋体" w:cs="宋体"/>
          <w:color w:val="auto"/>
          <w:sz w:val="21"/>
          <w:szCs w:val="21"/>
          <w:highlight w:val="none"/>
        </w:rPr>
        <w:t>MW。</w:t>
      </w:r>
    </w:p>
    <w:p>
      <w:pPr>
        <w:pStyle w:val="4"/>
        <w:ind w:firstLine="482" w:firstLineChars="200"/>
        <w:jc w:val="center"/>
        <w:rPr>
          <w:rFonts w:cs="宋体"/>
          <w:color w:val="auto"/>
          <w:kern w:val="2"/>
          <w:sz w:val="21"/>
          <w:szCs w:val="21"/>
          <w:highlight w:val="none"/>
        </w:rPr>
      </w:pPr>
      <w:r>
        <w:rPr>
          <w:rFonts w:hint="eastAsia" w:cs="宋体"/>
          <w:color w:val="auto"/>
          <w:szCs w:val="24"/>
          <w:highlight w:val="none"/>
        </w:rPr>
        <w:br w:type="page"/>
      </w:r>
      <w:bookmarkStart w:id="517" w:name="_Toc91247585"/>
      <w:bookmarkStart w:id="518" w:name="_Toc16883"/>
      <w:bookmarkStart w:id="519" w:name="_Toc476850532"/>
      <w:r>
        <w:rPr>
          <w:rFonts w:hint="eastAsia" w:cs="宋体"/>
          <w:color w:val="auto"/>
          <w:kern w:val="2"/>
          <w:sz w:val="21"/>
          <w:szCs w:val="21"/>
          <w:highlight w:val="none"/>
        </w:rPr>
        <w:t>第四章 技术参数响应表</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517"/>
      <w:bookmarkEnd w:id="518"/>
      <w:bookmarkEnd w:id="519"/>
    </w:p>
    <w:tbl>
      <w:tblPr>
        <w:tblStyle w:val="34"/>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1"/>
        <w:gridCol w:w="1099"/>
        <w:gridCol w:w="138"/>
        <w:gridCol w:w="2335"/>
        <w:gridCol w:w="824"/>
        <w:gridCol w:w="1922"/>
        <w:gridCol w:w="151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23"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2093" w:type="pct"/>
            <w:gridSpan w:val="3"/>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名称</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1127"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参考值</w:t>
            </w:r>
          </w:p>
        </w:tc>
        <w:tc>
          <w:tcPr>
            <w:tcW w:w="885"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投标方保证值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093" w:type="pct"/>
            <w:gridSpan w:val="3"/>
            <w:vAlign w:val="center"/>
          </w:tcPr>
          <w:p>
            <w:pPr>
              <w:autoSpaceDE w:val="0"/>
              <w:autoSpaceDN w:val="0"/>
              <w:spacing w:line="440" w:lineRule="exact"/>
              <w:rPr>
                <w:rFonts w:ascii="宋体" w:hAnsi="宋体"/>
                <w:color w:val="auto"/>
                <w:sz w:val="21"/>
                <w:szCs w:val="21"/>
                <w:highlight w:val="none"/>
              </w:rPr>
            </w:pPr>
            <w:r>
              <w:rPr>
                <w:rFonts w:hint="eastAsia" w:ascii="宋体" w:hAnsi="宋体" w:cs="宋体"/>
                <w:color w:val="auto"/>
                <w:sz w:val="21"/>
                <w:szCs w:val="21"/>
                <w:highlight w:val="none"/>
                <w:lang w:val="zh-CN"/>
              </w:rPr>
              <w:t>逆变器型号</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额定输出功率</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kW</w:t>
            </w: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最大输出功率</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kW</w:t>
            </w: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输出电压范围</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800V(暂定)</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最大直流输入电压</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V</w:t>
            </w:r>
          </w:p>
        </w:tc>
        <w:tc>
          <w:tcPr>
            <w:tcW w:w="1127" w:type="pct"/>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1500</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6</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最小输出功率</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kW</w:t>
            </w: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7</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最大直流输入功率</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kW</w:t>
            </w: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8</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最低启动电压（可稳定运行）</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V</w:t>
            </w: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9</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最大输出电流</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A</w:t>
            </w: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低电压穿越功能</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具备</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年平均无故障运行时间</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h/年</w:t>
            </w: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12</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断电后最短重启时间</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s</w:t>
            </w:r>
          </w:p>
        </w:tc>
        <w:tc>
          <w:tcPr>
            <w:tcW w:w="1127" w:type="pct"/>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30（0~900s可设）</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13</w:t>
            </w:r>
          </w:p>
        </w:tc>
        <w:tc>
          <w:tcPr>
            <w:tcW w:w="644" w:type="pct"/>
            <w:vMerge w:val="restart"/>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功率调节（能量管理平台）</w:t>
            </w:r>
          </w:p>
        </w:tc>
        <w:tc>
          <w:tcPr>
            <w:tcW w:w="1449" w:type="pct"/>
            <w:gridSpan w:val="2"/>
            <w:vAlign w:val="center"/>
          </w:tcPr>
          <w:p>
            <w:pPr>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调节范围</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kW</w:t>
            </w: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14</w:t>
            </w:r>
          </w:p>
        </w:tc>
        <w:tc>
          <w:tcPr>
            <w:tcW w:w="644" w:type="pct"/>
            <w:vMerge w:val="continue"/>
            <w:vAlign w:val="center"/>
          </w:tcPr>
          <w:p>
            <w:pPr>
              <w:widowControl/>
              <w:spacing w:before="120" w:beforeLines="50" w:after="120" w:afterLines="50" w:line="240" w:lineRule="auto"/>
              <w:rPr>
                <w:rFonts w:ascii="宋体" w:hAnsi="宋体"/>
                <w:color w:val="auto"/>
                <w:sz w:val="21"/>
                <w:szCs w:val="21"/>
                <w:highlight w:val="none"/>
              </w:rPr>
            </w:pPr>
          </w:p>
        </w:tc>
        <w:tc>
          <w:tcPr>
            <w:tcW w:w="1449" w:type="pct"/>
            <w:gridSpan w:val="2"/>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调节速率</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kW/s</w:t>
            </w:r>
          </w:p>
        </w:tc>
        <w:tc>
          <w:tcPr>
            <w:tcW w:w="1127"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644" w:type="pct"/>
            <w:vMerge w:val="continue"/>
            <w:vAlign w:val="center"/>
          </w:tcPr>
          <w:p>
            <w:pPr>
              <w:widowControl/>
              <w:spacing w:before="120" w:beforeLines="50" w:after="120" w:afterLines="50" w:line="240" w:lineRule="auto"/>
              <w:rPr>
                <w:rFonts w:ascii="宋体" w:hAnsi="宋体"/>
                <w:color w:val="auto"/>
                <w:sz w:val="21"/>
                <w:szCs w:val="21"/>
                <w:highlight w:val="none"/>
              </w:rPr>
            </w:pPr>
          </w:p>
        </w:tc>
        <w:tc>
          <w:tcPr>
            <w:tcW w:w="1449" w:type="pct"/>
            <w:gridSpan w:val="2"/>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调节死区</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kW</w:t>
            </w:r>
          </w:p>
        </w:tc>
        <w:tc>
          <w:tcPr>
            <w:tcW w:w="1127"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Merge w:val="restart"/>
            <w:vAlign w:val="center"/>
          </w:tcPr>
          <w:p>
            <w:pPr>
              <w:spacing w:before="120" w:beforeLines="50" w:after="120" w:afterLines="50" w:line="240" w:lineRule="auto"/>
              <w:jc w:val="center"/>
              <w:rPr>
                <w:rFonts w:ascii="宋体" w:hAnsi="宋体"/>
                <w:color w:val="auto"/>
                <w:sz w:val="21"/>
                <w:szCs w:val="21"/>
                <w:highlight w:val="none"/>
              </w:rPr>
            </w:pPr>
          </w:p>
        </w:tc>
        <w:tc>
          <w:tcPr>
            <w:tcW w:w="644" w:type="pct"/>
            <w:vMerge w:val="restart"/>
            <w:tcBorders>
              <w:right w:val="single" w:color="auto" w:sz="4" w:space="0"/>
            </w:tcBorders>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MPPT调节功能</w:t>
            </w:r>
          </w:p>
        </w:tc>
        <w:tc>
          <w:tcPr>
            <w:tcW w:w="1449" w:type="pct"/>
            <w:gridSpan w:val="2"/>
            <w:tcBorders>
              <w:left w:val="single" w:color="auto" w:sz="4" w:space="0"/>
            </w:tcBorders>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MPPT调节范围</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V</w:t>
            </w:r>
          </w:p>
        </w:tc>
        <w:tc>
          <w:tcPr>
            <w:tcW w:w="1127"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Merge w:val="continue"/>
            <w:vAlign w:val="center"/>
          </w:tcPr>
          <w:p>
            <w:pPr>
              <w:spacing w:before="120" w:beforeLines="50" w:after="120" w:afterLines="50" w:line="240" w:lineRule="auto"/>
              <w:jc w:val="center"/>
              <w:rPr>
                <w:rFonts w:ascii="宋体" w:hAnsi="宋体"/>
                <w:color w:val="auto"/>
                <w:sz w:val="21"/>
                <w:szCs w:val="21"/>
                <w:highlight w:val="none"/>
              </w:rPr>
            </w:pPr>
          </w:p>
        </w:tc>
        <w:tc>
          <w:tcPr>
            <w:tcW w:w="644" w:type="pct"/>
            <w:vMerge w:val="continue"/>
            <w:tcBorders>
              <w:right w:val="single" w:color="auto" w:sz="4" w:space="0"/>
            </w:tcBorders>
            <w:vAlign w:val="center"/>
          </w:tcPr>
          <w:p>
            <w:pPr>
              <w:widowControl/>
              <w:spacing w:before="120" w:beforeLines="50" w:after="120" w:afterLines="50" w:line="240" w:lineRule="auto"/>
              <w:rPr>
                <w:rFonts w:ascii="宋体" w:hAnsi="宋体"/>
                <w:color w:val="auto"/>
                <w:sz w:val="21"/>
                <w:szCs w:val="21"/>
                <w:highlight w:val="none"/>
              </w:rPr>
            </w:pPr>
          </w:p>
        </w:tc>
        <w:tc>
          <w:tcPr>
            <w:tcW w:w="1449" w:type="pct"/>
            <w:gridSpan w:val="2"/>
            <w:tcBorders>
              <w:left w:val="single" w:color="auto" w:sz="4" w:space="0"/>
            </w:tcBorders>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每路MPPT输入电压范围</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V</w:t>
            </w:r>
          </w:p>
        </w:tc>
        <w:tc>
          <w:tcPr>
            <w:tcW w:w="1127"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Merge w:val="continue"/>
            <w:vAlign w:val="center"/>
          </w:tcPr>
          <w:p>
            <w:pPr>
              <w:spacing w:before="120" w:beforeLines="50" w:after="120" w:afterLines="50" w:line="240" w:lineRule="auto"/>
              <w:jc w:val="center"/>
              <w:rPr>
                <w:rFonts w:ascii="宋体" w:hAnsi="宋体"/>
                <w:color w:val="auto"/>
                <w:sz w:val="21"/>
                <w:szCs w:val="21"/>
                <w:highlight w:val="none"/>
              </w:rPr>
            </w:pPr>
          </w:p>
        </w:tc>
        <w:tc>
          <w:tcPr>
            <w:tcW w:w="644" w:type="pct"/>
            <w:vMerge w:val="continue"/>
            <w:tcBorders>
              <w:right w:val="single" w:color="auto" w:sz="4" w:space="0"/>
            </w:tcBorders>
            <w:vAlign w:val="center"/>
          </w:tcPr>
          <w:p>
            <w:pPr>
              <w:widowControl/>
              <w:spacing w:before="120" w:beforeLines="50" w:after="120" w:afterLines="50" w:line="240" w:lineRule="auto"/>
              <w:rPr>
                <w:rFonts w:ascii="宋体" w:hAnsi="宋体"/>
                <w:color w:val="auto"/>
                <w:sz w:val="21"/>
                <w:szCs w:val="21"/>
                <w:highlight w:val="none"/>
              </w:rPr>
            </w:pPr>
          </w:p>
        </w:tc>
        <w:tc>
          <w:tcPr>
            <w:tcW w:w="1449" w:type="pct"/>
            <w:gridSpan w:val="2"/>
            <w:tcBorders>
              <w:left w:val="single" w:color="auto" w:sz="4" w:space="0"/>
            </w:tcBorders>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平均MPPT跟踪时间</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ms</w:t>
            </w:r>
          </w:p>
        </w:tc>
        <w:tc>
          <w:tcPr>
            <w:tcW w:w="1127"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Merge w:val="continue"/>
            <w:vAlign w:val="center"/>
          </w:tcPr>
          <w:p>
            <w:pPr>
              <w:spacing w:before="120" w:beforeLines="50" w:after="120" w:afterLines="50" w:line="240" w:lineRule="auto"/>
              <w:jc w:val="center"/>
              <w:rPr>
                <w:rFonts w:ascii="宋体" w:hAnsi="宋体"/>
                <w:color w:val="auto"/>
                <w:sz w:val="21"/>
                <w:szCs w:val="21"/>
                <w:highlight w:val="none"/>
              </w:rPr>
            </w:pPr>
          </w:p>
        </w:tc>
        <w:tc>
          <w:tcPr>
            <w:tcW w:w="644" w:type="pct"/>
            <w:vMerge w:val="continue"/>
            <w:tcBorders>
              <w:right w:val="single" w:color="auto" w:sz="4" w:space="0"/>
            </w:tcBorders>
            <w:vAlign w:val="center"/>
          </w:tcPr>
          <w:p>
            <w:pPr>
              <w:widowControl/>
              <w:spacing w:before="120" w:beforeLines="50" w:after="120" w:afterLines="50" w:line="240" w:lineRule="auto"/>
              <w:rPr>
                <w:rFonts w:ascii="宋体" w:hAnsi="宋体"/>
                <w:color w:val="auto"/>
                <w:sz w:val="21"/>
                <w:szCs w:val="21"/>
                <w:highlight w:val="none"/>
              </w:rPr>
            </w:pPr>
          </w:p>
        </w:tc>
        <w:tc>
          <w:tcPr>
            <w:tcW w:w="1449" w:type="pct"/>
            <w:gridSpan w:val="2"/>
            <w:tcBorders>
              <w:left w:val="single" w:color="auto" w:sz="4" w:space="0"/>
            </w:tcBorders>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MPPT路数</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Merge w:val="continue"/>
            <w:vAlign w:val="center"/>
          </w:tcPr>
          <w:p>
            <w:pPr>
              <w:widowControl/>
              <w:spacing w:before="120" w:beforeLines="50" w:after="120" w:afterLines="50" w:line="240" w:lineRule="auto"/>
              <w:jc w:val="center"/>
              <w:rPr>
                <w:rFonts w:ascii="宋体" w:hAnsi="宋体"/>
                <w:color w:val="auto"/>
                <w:sz w:val="21"/>
                <w:szCs w:val="21"/>
                <w:highlight w:val="none"/>
              </w:rPr>
            </w:pPr>
          </w:p>
        </w:tc>
        <w:tc>
          <w:tcPr>
            <w:tcW w:w="644" w:type="pct"/>
            <w:vMerge w:val="continue"/>
            <w:tcBorders>
              <w:right w:val="single" w:color="auto" w:sz="4" w:space="0"/>
            </w:tcBorders>
            <w:vAlign w:val="center"/>
          </w:tcPr>
          <w:p>
            <w:pPr>
              <w:widowControl/>
              <w:spacing w:before="120" w:beforeLines="50" w:after="120" w:afterLines="50" w:line="240" w:lineRule="auto"/>
              <w:rPr>
                <w:rFonts w:ascii="宋体" w:hAnsi="宋体"/>
                <w:color w:val="auto"/>
                <w:sz w:val="21"/>
                <w:szCs w:val="21"/>
                <w:highlight w:val="none"/>
              </w:rPr>
            </w:pPr>
          </w:p>
        </w:tc>
        <w:tc>
          <w:tcPr>
            <w:tcW w:w="1449" w:type="pct"/>
            <w:gridSpan w:val="2"/>
            <w:tcBorders>
              <w:left w:val="single" w:color="auto" w:sz="4" w:space="0"/>
            </w:tcBorders>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每路MPPT输入功率范围</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kW</w:t>
            </w: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系统允许输入电压范围</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ascii="宋体" w:hAnsi="宋体"/>
                <w:color w:val="auto"/>
                <w:sz w:val="21"/>
                <w:szCs w:val="21"/>
                <w:highlight w:val="none"/>
              </w:rPr>
              <w:t>V</w:t>
            </w:r>
          </w:p>
        </w:tc>
        <w:tc>
          <w:tcPr>
            <w:tcW w:w="1127" w:type="pct"/>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0~1500</w:t>
            </w:r>
            <w:r>
              <w:rPr>
                <w:rFonts w:ascii="宋体" w:hAnsi="宋体"/>
                <w:color w:val="auto"/>
                <w:sz w:val="21"/>
                <w:szCs w:val="21"/>
                <w:highlight w:val="none"/>
              </w:rPr>
              <w:t>V</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21</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功率因数调节范围</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0.8超前~0.8滞后</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无功功率调节范围</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kVar</w:t>
            </w: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3" w:hRule="atLeast"/>
        </w:trPr>
        <w:tc>
          <w:tcPr>
            <w:tcW w:w="411" w:type="pct"/>
            <w:vMerge w:val="restar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22</w:t>
            </w:r>
          </w:p>
        </w:tc>
        <w:tc>
          <w:tcPr>
            <w:tcW w:w="725" w:type="pct"/>
            <w:gridSpan w:val="2"/>
            <w:vMerge w:val="restart"/>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总谐波电流</w:t>
            </w:r>
          </w:p>
        </w:tc>
        <w:tc>
          <w:tcPr>
            <w:tcW w:w="1369" w:type="pct"/>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20%额定功率</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3" w:hRule="atLeast"/>
        </w:trPr>
        <w:tc>
          <w:tcPr>
            <w:tcW w:w="411" w:type="pct"/>
            <w:vMerge w:val="continue"/>
            <w:vAlign w:val="center"/>
          </w:tcPr>
          <w:p>
            <w:pPr>
              <w:widowControl/>
              <w:spacing w:before="120" w:beforeLines="50" w:after="120" w:afterLines="50" w:line="240" w:lineRule="auto"/>
              <w:jc w:val="center"/>
              <w:rPr>
                <w:rFonts w:ascii="宋体" w:hAnsi="宋体"/>
                <w:color w:val="auto"/>
                <w:sz w:val="21"/>
                <w:szCs w:val="21"/>
                <w:highlight w:val="none"/>
              </w:rPr>
            </w:pPr>
          </w:p>
        </w:tc>
        <w:tc>
          <w:tcPr>
            <w:tcW w:w="725" w:type="pct"/>
            <w:gridSpan w:val="2"/>
            <w:vMerge w:val="continue"/>
            <w:vAlign w:val="center"/>
          </w:tcPr>
          <w:p>
            <w:pPr>
              <w:widowControl/>
              <w:spacing w:before="120" w:beforeLines="50" w:after="120" w:afterLines="50" w:line="240" w:lineRule="auto"/>
              <w:jc w:val="center"/>
              <w:rPr>
                <w:rFonts w:ascii="宋体" w:hAnsi="宋体"/>
                <w:color w:val="auto"/>
                <w:sz w:val="21"/>
                <w:szCs w:val="21"/>
                <w:highlight w:val="none"/>
              </w:rPr>
            </w:pPr>
          </w:p>
        </w:tc>
        <w:tc>
          <w:tcPr>
            <w:tcW w:w="1369" w:type="pct"/>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40%额定功率</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3" w:hRule="atLeast"/>
        </w:trPr>
        <w:tc>
          <w:tcPr>
            <w:tcW w:w="411" w:type="pct"/>
            <w:vMerge w:val="continue"/>
            <w:vAlign w:val="center"/>
          </w:tcPr>
          <w:p>
            <w:pPr>
              <w:widowControl/>
              <w:spacing w:before="120" w:beforeLines="50" w:after="120" w:afterLines="50" w:line="240" w:lineRule="auto"/>
              <w:jc w:val="center"/>
              <w:rPr>
                <w:rFonts w:ascii="宋体" w:hAnsi="宋体"/>
                <w:color w:val="auto"/>
                <w:sz w:val="21"/>
                <w:szCs w:val="21"/>
                <w:highlight w:val="none"/>
              </w:rPr>
            </w:pPr>
          </w:p>
        </w:tc>
        <w:tc>
          <w:tcPr>
            <w:tcW w:w="725" w:type="pct"/>
            <w:gridSpan w:val="2"/>
            <w:vMerge w:val="continue"/>
            <w:vAlign w:val="center"/>
          </w:tcPr>
          <w:p>
            <w:pPr>
              <w:widowControl/>
              <w:spacing w:before="120" w:beforeLines="50" w:after="120" w:afterLines="50" w:line="240" w:lineRule="auto"/>
              <w:jc w:val="center"/>
              <w:rPr>
                <w:rFonts w:ascii="宋体" w:hAnsi="宋体"/>
                <w:color w:val="auto"/>
                <w:sz w:val="21"/>
                <w:szCs w:val="21"/>
                <w:highlight w:val="none"/>
              </w:rPr>
            </w:pPr>
          </w:p>
        </w:tc>
        <w:tc>
          <w:tcPr>
            <w:tcW w:w="1369" w:type="pct"/>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60%额定功率</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3" w:hRule="atLeast"/>
        </w:trPr>
        <w:tc>
          <w:tcPr>
            <w:tcW w:w="411" w:type="pct"/>
            <w:vMerge w:val="continue"/>
            <w:vAlign w:val="center"/>
          </w:tcPr>
          <w:p>
            <w:pPr>
              <w:widowControl/>
              <w:spacing w:before="120" w:beforeLines="50" w:after="120" w:afterLines="50" w:line="240" w:lineRule="auto"/>
              <w:jc w:val="center"/>
              <w:rPr>
                <w:rFonts w:ascii="宋体" w:hAnsi="宋体"/>
                <w:color w:val="auto"/>
                <w:sz w:val="21"/>
                <w:szCs w:val="21"/>
                <w:highlight w:val="none"/>
              </w:rPr>
            </w:pPr>
          </w:p>
        </w:tc>
        <w:tc>
          <w:tcPr>
            <w:tcW w:w="725" w:type="pct"/>
            <w:gridSpan w:val="2"/>
            <w:vMerge w:val="continue"/>
            <w:vAlign w:val="center"/>
          </w:tcPr>
          <w:p>
            <w:pPr>
              <w:widowControl/>
              <w:spacing w:before="120" w:beforeLines="50" w:after="120" w:afterLines="50" w:line="240" w:lineRule="auto"/>
              <w:jc w:val="center"/>
              <w:rPr>
                <w:rFonts w:ascii="宋体" w:hAnsi="宋体"/>
                <w:color w:val="auto"/>
                <w:sz w:val="21"/>
                <w:szCs w:val="21"/>
                <w:highlight w:val="none"/>
              </w:rPr>
            </w:pPr>
          </w:p>
        </w:tc>
        <w:tc>
          <w:tcPr>
            <w:tcW w:w="1369" w:type="pct"/>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80%额定功率</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3" w:hRule="atLeast"/>
        </w:trPr>
        <w:tc>
          <w:tcPr>
            <w:tcW w:w="411" w:type="pct"/>
            <w:vMerge w:val="continue"/>
            <w:vAlign w:val="center"/>
          </w:tcPr>
          <w:p>
            <w:pPr>
              <w:widowControl/>
              <w:spacing w:before="120" w:beforeLines="50" w:after="120" w:afterLines="50" w:line="240" w:lineRule="auto"/>
              <w:jc w:val="center"/>
              <w:rPr>
                <w:rFonts w:ascii="宋体" w:hAnsi="宋体"/>
                <w:color w:val="auto"/>
                <w:sz w:val="21"/>
                <w:szCs w:val="21"/>
                <w:highlight w:val="none"/>
              </w:rPr>
            </w:pPr>
          </w:p>
        </w:tc>
        <w:tc>
          <w:tcPr>
            <w:tcW w:w="725" w:type="pct"/>
            <w:gridSpan w:val="2"/>
            <w:vMerge w:val="continue"/>
            <w:vAlign w:val="center"/>
          </w:tcPr>
          <w:p>
            <w:pPr>
              <w:widowControl/>
              <w:spacing w:before="120" w:beforeLines="50" w:after="120" w:afterLines="50" w:line="240" w:lineRule="auto"/>
              <w:jc w:val="center"/>
              <w:rPr>
                <w:rFonts w:ascii="宋体" w:hAnsi="宋体"/>
                <w:color w:val="auto"/>
                <w:sz w:val="21"/>
                <w:szCs w:val="21"/>
                <w:highlight w:val="none"/>
              </w:rPr>
            </w:pPr>
          </w:p>
        </w:tc>
        <w:tc>
          <w:tcPr>
            <w:tcW w:w="1369" w:type="pct"/>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100%额定功率</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3"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725" w:type="pct"/>
            <w:gridSpan w:val="2"/>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中国效率</w:t>
            </w:r>
          </w:p>
        </w:tc>
        <w:tc>
          <w:tcPr>
            <w:tcW w:w="1369" w:type="pct"/>
            <w:vAlign w:val="center"/>
          </w:tcPr>
          <w:p>
            <w:pPr>
              <w:widowControl/>
              <w:spacing w:before="120" w:beforeLines="50" w:after="120" w:afterLines="50" w:line="240" w:lineRule="auto"/>
              <w:rPr>
                <w:rFonts w:ascii="宋体" w:hAnsi="宋体"/>
                <w:color w:val="auto"/>
                <w:sz w:val="21"/>
                <w:szCs w:val="21"/>
                <w:highlight w:val="none"/>
              </w:rPr>
            </w:pP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r>
              <w:rPr>
                <w:rFonts w:ascii="宋体" w:hAnsi="宋体"/>
                <w:color w:val="auto"/>
                <w:sz w:val="21"/>
                <w:szCs w:val="21"/>
                <w:highlight w:val="none"/>
              </w:rPr>
              <w:t>&gt;</w:t>
            </w:r>
            <w:r>
              <w:rPr>
                <w:rFonts w:hint="eastAsia" w:ascii="宋体" w:hAnsi="宋体"/>
                <w:color w:val="auto"/>
                <w:sz w:val="21"/>
                <w:szCs w:val="21"/>
                <w:highlight w:val="none"/>
              </w:rPr>
              <w:t>98</w:t>
            </w:r>
            <w:r>
              <w:rPr>
                <w:rFonts w:ascii="宋体" w:hAnsi="宋体"/>
                <w:color w:val="auto"/>
                <w:sz w:val="21"/>
                <w:szCs w:val="21"/>
                <w:highlight w:val="none"/>
              </w:rPr>
              <w:t>%</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08" w:hRule="atLeast"/>
        </w:trPr>
        <w:tc>
          <w:tcPr>
            <w:tcW w:w="411" w:type="pct"/>
            <w:vMerge w:val="restar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23</w:t>
            </w:r>
          </w:p>
        </w:tc>
        <w:tc>
          <w:tcPr>
            <w:tcW w:w="725" w:type="pct"/>
            <w:gridSpan w:val="2"/>
            <w:vMerge w:val="restart"/>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效率</w:t>
            </w:r>
          </w:p>
        </w:tc>
        <w:tc>
          <w:tcPr>
            <w:tcW w:w="1369" w:type="pct"/>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20%额定功率</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08" w:hRule="atLeast"/>
        </w:trPr>
        <w:tc>
          <w:tcPr>
            <w:tcW w:w="411" w:type="pct"/>
            <w:vMerge w:val="continue"/>
            <w:vAlign w:val="center"/>
          </w:tcPr>
          <w:p>
            <w:pPr>
              <w:widowControl/>
              <w:spacing w:before="120" w:beforeLines="50" w:after="120" w:afterLines="50" w:line="240" w:lineRule="auto"/>
              <w:rPr>
                <w:rFonts w:ascii="宋体" w:hAnsi="宋体"/>
                <w:color w:val="auto"/>
                <w:sz w:val="21"/>
                <w:szCs w:val="21"/>
                <w:highlight w:val="none"/>
              </w:rPr>
            </w:pPr>
          </w:p>
        </w:tc>
        <w:tc>
          <w:tcPr>
            <w:tcW w:w="725" w:type="pct"/>
            <w:gridSpan w:val="2"/>
            <w:vMerge w:val="continue"/>
            <w:vAlign w:val="center"/>
          </w:tcPr>
          <w:p>
            <w:pPr>
              <w:widowControl/>
              <w:spacing w:before="120" w:beforeLines="50" w:after="120" w:afterLines="50" w:line="240" w:lineRule="auto"/>
              <w:rPr>
                <w:rFonts w:ascii="宋体" w:hAnsi="宋体"/>
                <w:color w:val="auto"/>
                <w:sz w:val="21"/>
                <w:szCs w:val="21"/>
                <w:highlight w:val="none"/>
              </w:rPr>
            </w:pPr>
          </w:p>
        </w:tc>
        <w:tc>
          <w:tcPr>
            <w:tcW w:w="1369" w:type="pct"/>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40%额定功率</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08" w:hRule="atLeast"/>
        </w:trPr>
        <w:tc>
          <w:tcPr>
            <w:tcW w:w="411" w:type="pct"/>
            <w:vMerge w:val="continue"/>
            <w:vAlign w:val="center"/>
          </w:tcPr>
          <w:p>
            <w:pPr>
              <w:widowControl/>
              <w:spacing w:before="120" w:beforeLines="50" w:after="120" w:afterLines="50" w:line="240" w:lineRule="auto"/>
              <w:rPr>
                <w:rFonts w:ascii="宋体" w:hAnsi="宋体"/>
                <w:color w:val="auto"/>
                <w:sz w:val="21"/>
                <w:szCs w:val="21"/>
                <w:highlight w:val="none"/>
              </w:rPr>
            </w:pPr>
          </w:p>
        </w:tc>
        <w:tc>
          <w:tcPr>
            <w:tcW w:w="725" w:type="pct"/>
            <w:gridSpan w:val="2"/>
            <w:vMerge w:val="continue"/>
            <w:vAlign w:val="center"/>
          </w:tcPr>
          <w:p>
            <w:pPr>
              <w:widowControl/>
              <w:spacing w:before="120" w:beforeLines="50" w:after="120" w:afterLines="50" w:line="240" w:lineRule="auto"/>
              <w:rPr>
                <w:rFonts w:ascii="宋体" w:hAnsi="宋体"/>
                <w:color w:val="auto"/>
                <w:sz w:val="21"/>
                <w:szCs w:val="21"/>
                <w:highlight w:val="none"/>
              </w:rPr>
            </w:pPr>
          </w:p>
        </w:tc>
        <w:tc>
          <w:tcPr>
            <w:tcW w:w="1369" w:type="pct"/>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60%额定功率</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08" w:hRule="atLeast"/>
        </w:trPr>
        <w:tc>
          <w:tcPr>
            <w:tcW w:w="411" w:type="pct"/>
            <w:vMerge w:val="continue"/>
            <w:vAlign w:val="center"/>
          </w:tcPr>
          <w:p>
            <w:pPr>
              <w:widowControl/>
              <w:spacing w:before="120" w:beforeLines="50" w:after="120" w:afterLines="50" w:line="240" w:lineRule="auto"/>
              <w:rPr>
                <w:rFonts w:ascii="宋体" w:hAnsi="宋体"/>
                <w:color w:val="auto"/>
                <w:sz w:val="21"/>
                <w:szCs w:val="21"/>
                <w:highlight w:val="none"/>
              </w:rPr>
            </w:pPr>
          </w:p>
        </w:tc>
        <w:tc>
          <w:tcPr>
            <w:tcW w:w="725" w:type="pct"/>
            <w:gridSpan w:val="2"/>
            <w:vMerge w:val="continue"/>
            <w:vAlign w:val="center"/>
          </w:tcPr>
          <w:p>
            <w:pPr>
              <w:widowControl/>
              <w:spacing w:before="120" w:beforeLines="50" w:after="120" w:afterLines="50" w:line="240" w:lineRule="auto"/>
              <w:rPr>
                <w:rFonts w:ascii="宋体" w:hAnsi="宋体"/>
                <w:color w:val="auto"/>
                <w:sz w:val="21"/>
                <w:szCs w:val="21"/>
                <w:highlight w:val="none"/>
              </w:rPr>
            </w:pPr>
          </w:p>
        </w:tc>
        <w:tc>
          <w:tcPr>
            <w:tcW w:w="1369" w:type="pct"/>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80%额定功率</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08" w:hRule="atLeast"/>
        </w:trPr>
        <w:tc>
          <w:tcPr>
            <w:tcW w:w="411" w:type="pct"/>
            <w:vMerge w:val="continue"/>
            <w:vAlign w:val="center"/>
          </w:tcPr>
          <w:p>
            <w:pPr>
              <w:widowControl/>
              <w:spacing w:before="120" w:beforeLines="50" w:after="120" w:afterLines="50" w:line="240" w:lineRule="auto"/>
              <w:rPr>
                <w:rFonts w:ascii="宋体" w:hAnsi="宋体"/>
                <w:color w:val="auto"/>
                <w:sz w:val="21"/>
                <w:szCs w:val="21"/>
                <w:highlight w:val="none"/>
              </w:rPr>
            </w:pPr>
          </w:p>
        </w:tc>
        <w:tc>
          <w:tcPr>
            <w:tcW w:w="725" w:type="pct"/>
            <w:gridSpan w:val="2"/>
            <w:vMerge w:val="continue"/>
            <w:vAlign w:val="center"/>
          </w:tcPr>
          <w:p>
            <w:pPr>
              <w:widowControl/>
              <w:spacing w:before="120" w:beforeLines="50" w:after="120" w:afterLines="50" w:line="240" w:lineRule="auto"/>
              <w:rPr>
                <w:rFonts w:ascii="宋体" w:hAnsi="宋体"/>
                <w:color w:val="auto"/>
                <w:sz w:val="21"/>
                <w:szCs w:val="21"/>
                <w:highlight w:val="none"/>
              </w:rPr>
            </w:pPr>
          </w:p>
        </w:tc>
        <w:tc>
          <w:tcPr>
            <w:tcW w:w="1369" w:type="pct"/>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100%额定功率</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24</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最大运行自耗电</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W</w:t>
            </w: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25</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最大待机自耗电</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W</w:t>
            </w:r>
          </w:p>
        </w:tc>
        <w:tc>
          <w:tcPr>
            <w:tcW w:w="1127" w:type="pct"/>
          </w:tcPr>
          <w:p>
            <w:pPr>
              <w:widowControl/>
              <w:spacing w:before="120" w:beforeLines="50" w:after="120" w:afterLines="50" w:line="240" w:lineRule="auto"/>
              <w:jc w:val="center"/>
              <w:rPr>
                <w:rFonts w:ascii="宋体" w:hAnsi="宋体"/>
                <w:color w:val="auto"/>
                <w:sz w:val="21"/>
                <w:szCs w:val="21"/>
                <w:highlight w:val="none"/>
              </w:rPr>
            </w:pPr>
            <w:r>
              <w:rPr>
                <w:rFonts w:ascii="宋体" w:hAnsi="宋体"/>
                <w:color w:val="auto"/>
                <w:sz w:val="21"/>
                <w:szCs w:val="21"/>
                <w:highlight w:val="none"/>
              </w:rPr>
              <w:t>&lt;3</w:t>
            </w:r>
            <w:r>
              <w:rPr>
                <w:rFonts w:hint="eastAsia" w:ascii="宋体" w:hAnsi="宋体"/>
                <w:color w:val="auto"/>
                <w:sz w:val="21"/>
                <w:szCs w:val="21"/>
                <w:highlight w:val="none"/>
              </w:rPr>
              <w:t>W</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26</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要求电网的形式</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IT</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1" w:hRule="atLeast"/>
        </w:trPr>
        <w:tc>
          <w:tcPr>
            <w:tcW w:w="411" w:type="pct"/>
            <w:vMerge w:val="restar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27</w:t>
            </w:r>
          </w:p>
        </w:tc>
        <w:tc>
          <w:tcPr>
            <w:tcW w:w="725" w:type="pct"/>
            <w:gridSpan w:val="2"/>
            <w:vMerge w:val="restart"/>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工作环境温度范围</w:t>
            </w:r>
          </w:p>
        </w:tc>
        <w:tc>
          <w:tcPr>
            <w:tcW w:w="1369" w:type="pct"/>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额定功率运行</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127" w:type="pct"/>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-30</w:t>
            </w:r>
            <w:r>
              <w:rPr>
                <w:rFonts w:ascii="宋体" w:hAnsi="宋体"/>
                <w:color w:val="auto"/>
                <w:sz w:val="21"/>
                <w:szCs w:val="21"/>
                <w:highlight w:val="none"/>
              </w:rPr>
              <w:t>~50</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1" w:hRule="atLeast"/>
        </w:trPr>
        <w:tc>
          <w:tcPr>
            <w:tcW w:w="411" w:type="pct"/>
            <w:vMerge w:val="continue"/>
            <w:vAlign w:val="center"/>
          </w:tcPr>
          <w:p>
            <w:pPr>
              <w:widowControl/>
              <w:spacing w:before="120" w:beforeLines="50" w:after="120" w:afterLines="50" w:line="240" w:lineRule="auto"/>
              <w:jc w:val="center"/>
              <w:rPr>
                <w:rFonts w:ascii="宋体" w:hAnsi="宋体"/>
                <w:color w:val="auto"/>
                <w:sz w:val="21"/>
                <w:szCs w:val="21"/>
                <w:highlight w:val="none"/>
              </w:rPr>
            </w:pPr>
          </w:p>
        </w:tc>
        <w:tc>
          <w:tcPr>
            <w:tcW w:w="725" w:type="pct"/>
            <w:gridSpan w:val="2"/>
            <w:vMerge w:val="continue"/>
            <w:vAlign w:val="center"/>
          </w:tcPr>
          <w:p>
            <w:pPr>
              <w:widowControl/>
              <w:spacing w:before="120" w:beforeLines="50" w:after="120" w:afterLines="50" w:line="240" w:lineRule="auto"/>
              <w:rPr>
                <w:rFonts w:ascii="宋体" w:hAnsi="宋体"/>
                <w:color w:val="auto"/>
                <w:sz w:val="21"/>
                <w:szCs w:val="21"/>
                <w:highlight w:val="none"/>
              </w:rPr>
            </w:pPr>
          </w:p>
        </w:tc>
        <w:tc>
          <w:tcPr>
            <w:tcW w:w="1369" w:type="pct"/>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稳定运行</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127" w:type="pct"/>
          </w:tcPr>
          <w:p>
            <w:pPr>
              <w:widowControl/>
              <w:spacing w:before="120" w:beforeLines="50" w:after="120" w:afterLines="50" w:line="240" w:lineRule="auto"/>
              <w:jc w:val="center"/>
              <w:rPr>
                <w:rFonts w:ascii="宋体" w:hAnsi="宋体" w:cs="宋体"/>
                <w:color w:val="auto"/>
                <w:sz w:val="21"/>
                <w:szCs w:val="21"/>
                <w:highlight w:val="none"/>
                <w:lang w:eastAsia="ja-JP"/>
              </w:rPr>
            </w:pPr>
            <w:r>
              <w:rPr>
                <w:rFonts w:hint="eastAsia" w:ascii="宋体" w:hAnsi="宋体"/>
                <w:color w:val="auto"/>
                <w:sz w:val="21"/>
                <w:szCs w:val="21"/>
                <w:highlight w:val="none"/>
              </w:rPr>
              <w:t>-30</w:t>
            </w:r>
            <w:r>
              <w:rPr>
                <w:rFonts w:ascii="宋体" w:hAnsi="宋体"/>
                <w:color w:val="auto"/>
                <w:sz w:val="21"/>
                <w:szCs w:val="21"/>
                <w:highlight w:val="none"/>
              </w:rPr>
              <w:t>~60</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28</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工作环境湿度范围（额定功率运行）</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0-100</w:t>
            </w:r>
            <w:r>
              <w:rPr>
                <w:rFonts w:ascii="宋体" w:hAnsi="宋体"/>
                <w:color w:val="auto"/>
                <w:sz w:val="21"/>
                <w:szCs w:val="21"/>
                <w:highlight w:val="none"/>
              </w:rPr>
              <w:t>%</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29</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海拔（额定功率运行）</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m</w:t>
            </w:r>
          </w:p>
        </w:tc>
        <w:tc>
          <w:tcPr>
            <w:tcW w:w="1127" w:type="pct"/>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000</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30</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降容系数（海拔高于3000米之后）</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31</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运行噪音</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dB</w:t>
            </w:r>
          </w:p>
        </w:tc>
        <w:tc>
          <w:tcPr>
            <w:tcW w:w="1127" w:type="pct"/>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＜65</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32</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散热方式</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智能</w:t>
            </w:r>
            <w:r>
              <w:rPr>
                <w:rFonts w:ascii="宋体" w:hAnsi="宋体"/>
                <w:color w:val="auto"/>
                <w:sz w:val="21"/>
                <w:szCs w:val="21"/>
                <w:highlight w:val="none"/>
              </w:rPr>
              <w:t>强制风冷</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33</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外观尺寸</w:t>
            </w:r>
            <w:r>
              <w:rPr>
                <w:rFonts w:hint="eastAsia" w:ascii="宋体" w:hAnsi="宋体"/>
                <w:color w:val="auto"/>
                <w:spacing w:val="10"/>
                <w:sz w:val="21"/>
                <w:szCs w:val="21"/>
                <w:highlight w:val="none"/>
              </w:rPr>
              <w:t>(宽*高*深)</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pacing w:val="10"/>
                <w:sz w:val="21"/>
                <w:szCs w:val="21"/>
                <w:highlight w:val="none"/>
              </w:rPr>
              <w:t>mm</w:t>
            </w: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pacing w:val="10"/>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34</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重量</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pacing w:val="10"/>
                <w:sz w:val="21"/>
                <w:szCs w:val="21"/>
                <w:highlight w:val="none"/>
              </w:rPr>
              <w:t>kg</w:t>
            </w: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pacing w:val="10"/>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35</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输出频率范围</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r>
              <w:rPr>
                <w:rFonts w:ascii="宋体" w:hAnsi="宋体"/>
                <w:color w:val="auto"/>
                <w:spacing w:val="10"/>
                <w:sz w:val="21"/>
                <w:szCs w:val="21"/>
                <w:highlight w:val="none"/>
              </w:rPr>
              <w:t>50</w:t>
            </w:r>
            <w:r>
              <w:rPr>
                <w:rFonts w:hint="eastAsia" w:ascii="宋体" w:hAnsi="宋体"/>
                <w:color w:val="auto"/>
                <w:spacing w:val="10"/>
                <w:sz w:val="21"/>
                <w:szCs w:val="21"/>
                <w:highlight w:val="none"/>
              </w:rPr>
              <w:t xml:space="preserve"> H</w:t>
            </w:r>
            <w:r>
              <w:rPr>
                <w:rFonts w:ascii="宋体" w:hAnsi="宋体"/>
                <w:color w:val="auto"/>
                <w:spacing w:val="10"/>
                <w:sz w:val="21"/>
                <w:szCs w:val="21"/>
                <w:highlight w:val="none"/>
              </w:rPr>
              <w:t>z</w:t>
            </w:r>
            <w:r>
              <w:rPr>
                <w:rFonts w:hint="eastAsia" w:ascii="宋体" w:hAnsi="宋体"/>
                <w:color w:val="auto"/>
                <w:spacing w:val="10"/>
                <w:sz w:val="21"/>
                <w:szCs w:val="21"/>
                <w:highlight w:val="none"/>
              </w:rPr>
              <w:t xml:space="preserve"> </w:t>
            </w:r>
            <w:r>
              <w:rPr>
                <w:rFonts w:ascii="宋体" w:hAnsi="宋体"/>
                <w:color w:val="auto"/>
                <w:spacing w:val="10"/>
                <w:sz w:val="21"/>
                <w:szCs w:val="21"/>
                <w:highlight w:val="none"/>
              </w:rPr>
              <w:t>(</w:t>
            </w:r>
            <w:r>
              <w:rPr>
                <w:rFonts w:hint="eastAsia" w:ascii="宋体" w:hAnsi="宋体"/>
                <w:color w:val="auto"/>
                <w:spacing w:val="10"/>
                <w:sz w:val="21"/>
                <w:szCs w:val="21"/>
                <w:highlight w:val="none"/>
              </w:rPr>
              <w:t>45～55H</w:t>
            </w:r>
            <w:r>
              <w:rPr>
                <w:rFonts w:ascii="宋体" w:hAnsi="宋体"/>
                <w:color w:val="auto"/>
                <w:spacing w:val="10"/>
                <w:sz w:val="21"/>
                <w:szCs w:val="21"/>
                <w:highlight w:val="none"/>
              </w:rPr>
              <w:t>z)</w:t>
            </w:r>
          </w:p>
        </w:tc>
        <w:tc>
          <w:tcPr>
            <w:tcW w:w="885" w:type="pct"/>
          </w:tcPr>
          <w:p>
            <w:pPr>
              <w:widowControl/>
              <w:spacing w:before="120" w:beforeLines="50" w:after="120" w:afterLines="50" w:line="240" w:lineRule="auto"/>
              <w:jc w:val="center"/>
              <w:rPr>
                <w:rFonts w:ascii="宋体" w:hAnsi="宋体"/>
                <w:color w:val="auto"/>
                <w:spacing w:val="10"/>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36</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外壳材料与防护等级</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r>
              <w:rPr>
                <w:rFonts w:ascii="宋体" w:hAnsi="宋体"/>
                <w:color w:val="auto"/>
                <w:sz w:val="21"/>
                <w:szCs w:val="21"/>
                <w:highlight w:val="none"/>
              </w:rPr>
              <w:t>IP65</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39</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绝缘耐热等级</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40</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控制与保护的配置</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1、主要控制功能：有功功率控制、无功功率控制、防孤岛保护控制、远程开关机控制；</w:t>
            </w:r>
          </w:p>
          <w:p>
            <w:pPr>
              <w:spacing w:line="240" w:lineRule="auto"/>
              <w:jc w:val="center"/>
              <w:rPr>
                <w:rFonts w:ascii="宋体" w:hAnsi="宋体"/>
                <w:color w:val="auto"/>
                <w:sz w:val="21"/>
                <w:szCs w:val="21"/>
                <w:highlight w:val="none"/>
              </w:rPr>
            </w:pPr>
            <w:r>
              <w:rPr>
                <w:rFonts w:hint="eastAsia" w:ascii="宋体" w:hAnsi="宋体"/>
                <w:color w:val="auto"/>
                <w:sz w:val="21"/>
                <w:szCs w:val="21"/>
                <w:highlight w:val="none"/>
              </w:rPr>
              <w:t>2、主要保护功能：电网过欠压保护、电网过欠频保护、电网断电保护、交流缺相保护、低电压穿越功能、防孤岛效应保护、逆变器过载保护、直流极性接反保护、直流输入过压保护、短路保护、漏电保护、防反放电、防雷保护、过温保护、过流保护、直流过压保护、反P</w:t>
            </w:r>
            <w:r>
              <w:rPr>
                <w:rFonts w:ascii="宋体" w:hAnsi="宋体"/>
                <w:color w:val="auto"/>
                <w:sz w:val="21"/>
                <w:szCs w:val="21"/>
                <w:highlight w:val="none"/>
              </w:rPr>
              <w:t>ID</w:t>
            </w:r>
            <w:r>
              <w:rPr>
                <w:rFonts w:hint="eastAsia" w:ascii="宋体" w:hAnsi="宋体"/>
                <w:color w:val="auto"/>
                <w:sz w:val="21"/>
                <w:szCs w:val="21"/>
                <w:highlight w:val="none"/>
              </w:rPr>
              <w:t>保护等；</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41</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通讯接口方式</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蓝牙+APP</w:t>
            </w:r>
          </w:p>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R</w:t>
            </w:r>
            <w:r>
              <w:rPr>
                <w:rFonts w:ascii="宋体" w:hAnsi="宋体"/>
                <w:color w:val="auto"/>
                <w:sz w:val="21"/>
                <w:szCs w:val="21"/>
                <w:highlight w:val="none"/>
              </w:rPr>
              <w:t>S485/PLC</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42</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显示及上传信息</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发电功率、日发电量、累计发电量、设备状态、电流、电压、逆变器机内温度、频率、故障信息等信号</w:t>
            </w:r>
          </w:p>
        </w:tc>
        <w:tc>
          <w:tcPr>
            <w:tcW w:w="885" w:type="pct"/>
            <w:vAlign w:val="center"/>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43</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防雷性能</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II级</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34" w:hRule="atLeast"/>
        </w:trPr>
        <w:tc>
          <w:tcPr>
            <w:tcW w:w="411" w:type="pct"/>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44</w:t>
            </w:r>
          </w:p>
        </w:tc>
        <w:tc>
          <w:tcPr>
            <w:tcW w:w="2093" w:type="pct"/>
            <w:gridSpan w:val="3"/>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产品认证</w:t>
            </w:r>
          </w:p>
        </w:tc>
        <w:tc>
          <w:tcPr>
            <w:tcW w:w="483" w:type="pct"/>
            <w:vAlign w:val="center"/>
          </w:tcPr>
          <w:p>
            <w:pPr>
              <w:widowControl/>
              <w:spacing w:before="120" w:beforeLines="50" w:after="120" w:afterLines="50" w:line="240" w:lineRule="auto"/>
              <w:rPr>
                <w:rFonts w:ascii="宋体" w:hAnsi="宋体"/>
                <w:color w:val="auto"/>
                <w:sz w:val="21"/>
                <w:szCs w:val="21"/>
                <w:highlight w:val="none"/>
              </w:rPr>
            </w:pPr>
          </w:p>
        </w:tc>
        <w:tc>
          <w:tcPr>
            <w:tcW w:w="1127" w:type="pct"/>
            <w:vAlign w:val="center"/>
          </w:tcPr>
          <w:p>
            <w:pPr>
              <w:widowControl/>
              <w:spacing w:before="120" w:beforeLines="50" w:after="120" w:afterLines="50" w:line="240" w:lineRule="auto"/>
              <w:rPr>
                <w:rFonts w:ascii="宋体" w:hAnsi="宋体"/>
                <w:color w:val="auto"/>
                <w:sz w:val="21"/>
                <w:szCs w:val="21"/>
                <w:highlight w:val="none"/>
              </w:rPr>
            </w:pPr>
            <w:r>
              <w:rPr>
                <w:rFonts w:hint="eastAsia" w:ascii="宋体" w:hAnsi="宋体"/>
                <w:color w:val="auto"/>
                <w:sz w:val="21"/>
                <w:szCs w:val="21"/>
                <w:highlight w:val="none"/>
              </w:rPr>
              <w:t>金太阳认证、GB/T 19964-2012、TUV认证、CQC，</w:t>
            </w:r>
            <w:r>
              <w:rPr>
                <w:rFonts w:ascii="宋体" w:hAnsi="宋体"/>
                <w:color w:val="auto"/>
                <w:sz w:val="21"/>
                <w:szCs w:val="21"/>
                <w:highlight w:val="none"/>
              </w:rPr>
              <w:t>中国效率证书</w:t>
            </w:r>
            <w:r>
              <w:rPr>
                <w:rFonts w:hint="eastAsia" w:ascii="宋体" w:hAnsi="宋体"/>
                <w:color w:val="auto"/>
                <w:sz w:val="21"/>
                <w:szCs w:val="21"/>
                <w:highlight w:val="none"/>
              </w:rPr>
              <w:t>、高电压</w:t>
            </w:r>
            <w:r>
              <w:rPr>
                <w:rFonts w:ascii="宋体" w:hAnsi="宋体"/>
                <w:color w:val="auto"/>
                <w:sz w:val="21"/>
                <w:szCs w:val="21"/>
                <w:highlight w:val="none"/>
              </w:rPr>
              <w:t>穿越</w:t>
            </w:r>
            <w:r>
              <w:rPr>
                <w:rFonts w:hint="eastAsia" w:ascii="宋体" w:hAnsi="宋体"/>
                <w:color w:val="auto"/>
                <w:sz w:val="21"/>
                <w:szCs w:val="21"/>
                <w:highlight w:val="none"/>
              </w:rPr>
              <w:t>测试</w:t>
            </w:r>
            <w:r>
              <w:rPr>
                <w:rFonts w:ascii="宋体" w:hAnsi="宋体"/>
                <w:color w:val="auto"/>
                <w:sz w:val="21"/>
                <w:szCs w:val="21"/>
                <w:highlight w:val="none"/>
              </w:rPr>
              <w:t>报告</w:t>
            </w:r>
            <w:r>
              <w:rPr>
                <w:rFonts w:hint="eastAsia" w:ascii="宋体" w:hAnsi="宋体"/>
                <w:color w:val="auto"/>
                <w:sz w:val="21"/>
                <w:szCs w:val="21"/>
                <w:highlight w:val="none"/>
              </w:rPr>
              <w:t>等</w:t>
            </w:r>
          </w:p>
        </w:tc>
        <w:tc>
          <w:tcPr>
            <w:tcW w:w="885" w:type="pct"/>
            <w:vAlign w:val="center"/>
          </w:tcPr>
          <w:p>
            <w:pPr>
              <w:widowControl/>
              <w:spacing w:before="120" w:beforeLines="50" w:after="120" w:afterLines="50" w:line="240" w:lineRule="auto"/>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45</w:t>
            </w:r>
          </w:p>
        </w:tc>
        <w:tc>
          <w:tcPr>
            <w:tcW w:w="2093" w:type="pct"/>
            <w:gridSpan w:val="3"/>
            <w:vAlign w:val="center"/>
          </w:tcPr>
          <w:p>
            <w:pPr>
              <w:spacing w:line="240" w:lineRule="exact"/>
              <w:ind w:left="21"/>
              <w:rPr>
                <w:rFonts w:ascii="宋体" w:hAnsi="宋体"/>
                <w:color w:val="auto"/>
                <w:sz w:val="21"/>
                <w:szCs w:val="21"/>
                <w:highlight w:val="none"/>
              </w:rPr>
            </w:pPr>
            <w:r>
              <w:rPr>
                <w:rFonts w:hint="eastAsia" w:ascii="宋体" w:hAnsi="宋体"/>
                <w:snapToGrid w:val="0"/>
                <w:color w:val="auto"/>
                <w:sz w:val="21"/>
                <w:szCs w:val="21"/>
                <w:highlight w:val="none"/>
              </w:rPr>
              <w:t>电压波动范围（相对标称电压）</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ascii="宋体" w:hAnsi="宋体"/>
                <w:color w:val="auto"/>
                <w:sz w:val="21"/>
                <w:szCs w:val="21"/>
                <w:highlight w:val="none"/>
              </w:rPr>
              <w:t>±10%</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46</w:t>
            </w:r>
          </w:p>
        </w:tc>
        <w:tc>
          <w:tcPr>
            <w:tcW w:w="2093" w:type="pct"/>
            <w:gridSpan w:val="3"/>
            <w:vAlign w:val="center"/>
          </w:tcPr>
          <w:p>
            <w:pPr>
              <w:spacing w:line="240" w:lineRule="exact"/>
              <w:ind w:left="21"/>
              <w:rPr>
                <w:rFonts w:ascii="宋体" w:hAnsi="宋体"/>
                <w:color w:val="auto"/>
                <w:sz w:val="21"/>
                <w:szCs w:val="21"/>
                <w:highlight w:val="none"/>
              </w:rPr>
            </w:pPr>
            <w:r>
              <w:rPr>
                <w:rFonts w:hint="eastAsia" w:ascii="宋体" w:hAnsi="宋体"/>
                <w:color w:val="auto"/>
                <w:sz w:val="21"/>
                <w:szCs w:val="21"/>
                <w:highlight w:val="none"/>
              </w:rPr>
              <w:t>谐波是否满足国家标准要求</w:t>
            </w:r>
          </w:p>
        </w:tc>
        <w:tc>
          <w:tcPr>
            <w:tcW w:w="483" w:type="pct"/>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满足</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7" w:hRule="atLeast"/>
        </w:trPr>
        <w:tc>
          <w:tcPr>
            <w:tcW w:w="411" w:type="pct"/>
            <w:vMerge w:val="restar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47</w:t>
            </w:r>
          </w:p>
        </w:tc>
        <w:tc>
          <w:tcPr>
            <w:tcW w:w="644" w:type="pct"/>
            <w:vMerge w:val="restart"/>
            <w:vAlign w:val="center"/>
          </w:tcPr>
          <w:p>
            <w:pPr>
              <w:widowControl/>
              <w:spacing w:line="30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电压波动（按GB12326要求）:</w:t>
            </w:r>
          </w:p>
          <w:p>
            <w:pPr>
              <w:widowControl/>
              <w:spacing w:line="30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r 为变动频度，d为电压变动限值</w:t>
            </w:r>
          </w:p>
        </w:tc>
        <w:tc>
          <w:tcPr>
            <w:tcW w:w="1449" w:type="pct"/>
            <w:gridSpan w:val="2"/>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 xml:space="preserve">r＜1 </w:t>
            </w:r>
          </w:p>
        </w:tc>
        <w:tc>
          <w:tcPr>
            <w:tcW w:w="483" w:type="pct"/>
          </w:tcPr>
          <w:p>
            <w:pPr>
              <w:widowControl/>
              <w:spacing w:before="120" w:beforeLines="50" w:after="120" w:afterLines="50" w:line="240" w:lineRule="auto"/>
              <w:jc w:val="center"/>
              <w:rPr>
                <w:rFonts w:ascii="宋体" w:hAnsi="宋体"/>
                <w:color w:val="auto"/>
                <w:sz w:val="21"/>
                <w:szCs w:val="21"/>
                <w:highlight w:val="none"/>
              </w:rPr>
            </w:pPr>
          </w:p>
        </w:tc>
        <w:tc>
          <w:tcPr>
            <w:tcW w:w="1127"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d＜</w:t>
            </w:r>
            <w:r>
              <w:rPr>
                <w:rFonts w:ascii="宋体" w:hAnsi="宋体"/>
                <w:color w:val="auto"/>
                <w:sz w:val="21"/>
                <w:szCs w:val="21"/>
                <w:highlight w:val="none"/>
              </w:rPr>
              <w:t>4</w:t>
            </w:r>
            <w:r>
              <w:rPr>
                <w:rFonts w:hint="eastAsia" w:ascii="宋体" w:hAnsi="宋体"/>
                <w:color w:val="auto"/>
                <w:sz w:val="21"/>
                <w:szCs w:val="21"/>
                <w:highlight w:val="none"/>
              </w:rPr>
              <w:t>(%)</w:t>
            </w:r>
          </w:p>
        </w:tc>
        <w:tc>
          <w:tcPr>
            <w:tcW w:w="885" w:type="pct"/>
          </w:tcPr>
          <w:p>
            <w:pPr>
              <w:widowControl/>
              <w:spacing w:before="120" w:beforeLines="50" w:after="120" w:afterLines="50" w:line="240" w:lineRule="auto"/>
              <w:jc w:val="center"/>
              <w:rPr>
                <w:rFonts w:ascii="宋体" w:hAnsi="宋体"/>
                <w:b/>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7" w:hRule="atLeast"/>
        </w:trPr>
        <w:tc>
          <w:tcPr>
            <w:tcW w:w="411" w:type="pct"/>
            <w:vMerge w:val="continue"/>
          </w:tcPr>
          <w:p>
            <w:pPr>
              <w:widowControl/>
              <w:spacing w:before="120" w:beforeLines="50" w:after="120" w:afterLines="50" w:line="240" w:lineRule="auto"/>
              <w:jc w:val="center"/>
              <w:rPr>
                <w:rFonts w:ascii="宋体" w:hAnsi="宋体"/>
                <w:color w:val="auto"/>
                <w:sz w:val="21"/>
                <w:szCs w:val="21"/>
                <w:highlight w:val="none"/>
              </w:rPr>
            </w:pPr>
          </w:p>
        </w:tc>
        <w:tc>
          <w:tcPr>
            <w:tcW w:w="644" w:type="pct"/>
            <w:vMerge w:val="continue"/>
            <w:vAlign w:val="center"/>
          </w:tcPr>
          <w:p>
            <w:pPr>
              <w:widowControl/>
              <w:spacing w:before="120" w:beforeLines="50" w:after="120" w:afterLines="50" w:line="240" w:lineRule="auto"/>
              <w:jc w:val="center"/>
              <w:rPr>
                <w:rFonts w:ascii="宋体" w:hAnsi="宋体"/>
                <w:color w:val="auto"/>
                <w:sz w:val="21"/>
                <w:szCs w:val="21"/>
                <w:highlight w:val="none"/>
              </w:rPr>
            </w:pPr>
          </w:p>
        </w:tc>
        <w:tc>
          <w:tcPr>
            <w:tcW w:w="1449" w:type="pct"/>
            <w:gridSpan w:val="2"/>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 xml:space="preserve">1＜r＜10 </w:t>
            </w:r>
          </w:p>
        </w:tc>
        <w:tc>
          <w:tcPr>
            <w:tcW w:w="483" w:type="pct"/>
          </w:tcPr>
          <w:p>
            <w:pPr>
              <w:widowControl/>
              <w:spacing w:before="120" w:beforeLines="50" w:after="120" w:afterLines="50" w:line="240" w:lineRule="auto"/>
              <w:jc w:val="center"/>
              <w:rPr>
                <w:rFonts w:ascii="宋体" w:hAnsi="宋体"/>
                <w:color w:val="auto"/>
                <w:sz w:val="21"/>
                <w:szCs w:val="21"/>
                <w:highlight w:val="none"/>
              </w:rPr>
            </w:pPr>
          </w:p>
        </w:tc>
        <w:tc>
          <w:tcPr>
            <w:tcW w:w="1127"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d＜</w:t>
            </w:r>
            <w:r>
              <w:rPr>
                <w:rFonts w:ascii="宋体" w:hAnsi="宋体"/>
                <w:color w:val="auto"/>
                <w:sz w:val="21"/>
                <w:szCs w:val="21"/>
                <w:highlight w:val="none"/>
              </w:rPr>
              <w:t>3</w:t>
            </w:r>
            <w:r>
              <w:rPr>
                <w:rFonts w:hint="eastAsia" w:ascii="宋体" w:hAnsi="宋体"/>
                <w:color w:val="auto"/>
                <w:sz w:val="21"/>
                <w:szCs w:val="21"/>
                <w:highlight w:val="none"/>
              </w:rPr>
              <w:t>(%)</w:t>
            </w:r>
          </w:p>
        </w:tc>
        <w:tc>
          <w:tcPr>
            <w:tcW w:w="885" w:type="pct"/>
          </w:tcPr>
          <w:p>
            <w:pPr>
              <w:widowControl/>
              <w:spacing w:before="120" w:beforeLines="50" w:after="120" w:afterLines="50" w:line="240" w:lineRule="auto"/>
              <w:jc w:val="center"/>
              <w:rPr>
                <w:rFonts w:ascii="宋体" w:hAnsi="宋体"/>
                <w:b/>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7" w:hRule="atLeast"/>
        </w:trPr>
        <w:tc>
          <w:tcPr>
            <w:tcW w:w="411" w:type="pct"/>
            <w:vMerge w:val="continue"/>
          </w:tcPr>
          <w:p>
            <w:pPr>
              <w:widowControl/>
              <w:spacing w:before="120" w:beforeLines="50" w:after="120" w:afterLines="50" w:line="240" w:lineRule="auto"/>
              <w:jc w:val="center"/>
              <w:rPr>
                <w:rFonts w:ascii="宋体" w:hAnsi="宋体"/>
                <w:color w:val="auto"/>
                <w:sz w:val="21"/>
                <w:szCs w:val="21"/>
                <w:highlight w:val="none"/>
              </w:rPr>
            </w:pPr>
          </w:p>
        </w:tc>
        <w:tc>
          <w:tcPr>
            <w:tcW w:w="644" w:type="pct"/>
            <w:vMerge w:val="continue"/>
            <w:vAlign w:val="center"/>
          </w:tcPr>
          <w:p>
            <w:pPr>
              <w:widowControl/>
              <w:spacing w:before="120" w:beforeLines="50" w:after="120" w:afterLines="50" w:line="240" w:lineRule="auto"/>
              <w:jc w:val="center"/>
              <w:rPr>
                <w:rFonts w:ascii="宋体" w:hAnsi="宋体"/>
                <w:color w:val="auto"/>
                <w:sz w:val="21"/>
                <w:szCs w:val="21"/>
                <w:highlight w:val="none"/>
              </w:rPr>
            </w:pPr>
          </w:p>
        </w:tc>
        <w:tc>
          <w:tcPr>
            <w:tcW w:w="1449" w:type="pct"/>
            <w:gridSpan w:val="2"/>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10＜r＜100</w:t>
            </w:r>
          </w:p>
        </w:tc>
        <w:tc>
          <w:tcPr>
            <w:tcW w:w="483" w:type="pct"/>
          </w:tcPr>
          <w:p>
            <w:pPr>
              <w:widowControl/>
              <w:spacing w:before="120" w:beforeLines="50" w:after="120" w:afterLines="50" w:line="240" w:lineRule="auto"/>
              <w:jc w:val="center"/>
              <w:rPr>
                <w:rFonts w:ascii="宋体" w:hAnsi="宋体"/>
                <w:color w:val="auto"/>
                <w:sz w:val="21"/>
                <w:szCs w:val="21"/>
                <w:highlight w:val="none"/>
              </w:rPr>
            </w:pPr>
          </w:p>
        </w:tc>
        <w:tc>
          <w:tcPr>
            <w:tcW w:w="1127" w:type="pct"/>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d＜</w:t>
            </w:r>
            <w:r>
              <w:rPr>
                <w:rFonts w:ascii="宋体" w:hAnsi="宋体"/>
                <w:color w:val="auto"/>
                <w:sz w:val="21"/>
                <w:szCs w:val="21"/>
                <w:highlight w:val="none"/>
              </w:rPr>
              <w:t>2</w:t>
            </w:r>
            <w:r>
              <w:rPr>
                <w:rFonts w:hint="eastAsia" w:ascii="宋体" w:hAnsi="宋体"/>
                <w:color w:val="auto"/>
                <w:sz w:val="21"/>
                <w:szCs w:val="21"/>
                <w:highlight w:val="none"/>
              </w:rPr>
              <w:t>(%)</w:t>
            </w:r>
          </w:p>
        </w:tc>
        <w:tc>
          <w:tcPr>
            <w:tcW w:w="885" w:type="pct"/>
          </w:tcPr>
          <w:p>
            <w:pPr>
              <w:widowControl/>
              <w:spacing w:before="120" w:beforeLines="50" w:after="120" w:afterLines="50" w:line="240" w:lineRule="auto"/>
              <w:jc w:val="center"/>
              <w:rPr>
                <w:rFonts w:ascii="宋体" w:hAnsi="宋体"/>
                <w:b/>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7" w:hRule="atLeast"/>
        </w:trPr>
        <w:tc>
          <w:tcPr>
            <w:tcW w:w="411" w:type="pct"/>
            <w:vMerge w:val="continue"/>
          </w:tcPr>
          <w:p>
            <w:pPr>
              <w:widowControl/>
              <w:spacing w:before="120" w:beforeLines="50" w:after="120" w:afterLines="50" w:line="240" w:lineRule="auto"/>
              <w:jc w:val="center"/>
              <w:rPr>
                <w:rFonts w:ascii="宋体" w:hAnsi="宋体"/>
                <w:color w:val="auto"/>
                <w:sz w:val="21"/>
                <w:szCs w:val="21"/>
                <w:highlight w:val="none"/>
              </w:rPr>
            </w:pPr>
          </w:p>
        </w:tc>
        <w:tc>
          <w:tcPr>
            <w:tcW w:w="644" w:type="pct"/>
            <w:vMerge w:val="continue"/>
            <w:vAlign w:val="center"/>
          </w:tcPr>
          <w:p>
            <w:pPr>
              <w:widowControl/>
              <w:spacing w:before="120" w:beforeLines="50" w:after="120" w:afterLines="50" w:line="240" w:lineRule="auto"/>
              <w:jc w:val="center"/>
              <w:rPr>
                <w:rFonts w:ascii="宋体" w:hAnsi="宋体"/>
                <w:color w:val="auto"/>
                <w:sz w:val="21"/>
                <w:szCs w:val="21"/>
                <w:highlight w:val="none"/>
              </w:rPr>
            </w:pPr>
          </w:p>
        </w:tc>
        <w:tc>
          <w:tcPr>
            <w:tcW w:w="1449" w:type="pct"/>
            <w:gridSpan w:val="2"/>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100＜r＜1000</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d＜</w:t>
            </w:r>
            <w:r>
              <w:rPr>
                <w:rFonts w:ascii="宋体" w:hAnsi="宋体"/>
                <w:color w:val="auto"/>
                <w:sz w:val="21"/>
                <w:szCs w:val="21"/>
                <w:highlight w:val="none"/>
              </w:rPr>
              <w:t>1.</w:t>
            </w:r>
            <w:r>
              <w:rPr>
                <w:rFonts w:hint="eastAsia" w:ascii="宋体" w:hAnsi="宋体"/>
                <w:color w:val="auto"/>
                <w:sz w:val="21"/>
                <w:szCs w:val="21"/>
                <w:highlight w:val="none"/>
              </w:rPr>
              <w:t>2</w:t>
            </w:r>
            <w:r>
              <w:rPr>
                <w:rFonts w:ascii="宋体" w:hAnsi="宋体"/>
                <w:color w:val="auto"/>
                <w:sz w:val="21"/>
                <w:szCs w:val="21"/>
                <w:highlight w:val="none"/>
              </w:rPr>
              <w:t>5</w:t>
            </w:r>
            <w:r>
              <w:rPr>
                <w:rFonts w:hint="eastAsia" w:ascii="宋体" w:hAnsi="宋体"/>
                <w:color w:val="auto"/>
                <w:sz w:val="21"/>
                <w:szCs w:val="21"/>
                <w:highlight w:val="none"/>
              </w:rPr>
              <w:t>(%)</w:t>
            </w:r>
          </w:p>
        </w:tc>
        <w:tc>
          <w:tcPr>
            <w:tcW w:w="885" w:type="pct"/>
            <w:vAlign w:val="center"/>
          </w:tcPr>
          <w:p>
            <w:pPr>
              <w:widowControl/>
              <w:spacing w:before="120" w:beforeLines="50" w:after="120" w:afterLines="50" w:line="240" w:lineRule="auto"/>
              <w:jc w:val="center"/>
              <w:rPr>
                <w:rFonts w:ascii="宋体" w:hAnsi="宋体"/>
                <w:b/>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2" w:hRule="atLeast"/>
        </w:trPr>
        <w:tc>
          <w:tcPr>
            <w:tcW w:w="411" w:type="pct"/>
            <w:vMerge w:val="restart"/>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48</w:t>
            </w:r>
          </w:p>
        </w:tc>
        <w:tc>
          <w:tcPr>
            <w:tcW w:w="644" w:type="pct"/>
            <w:vMerge w:val="restart"/>
            <w:vAlign w:val="center"/>
          </w:tcPr>
          <w:p>
            <w:pPr>
              <w:widowControl/>
              <w:spacing w:line="30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电压闪变（按GB12326要求）</w:t>
            </w:r>
          </w:p>
        </w:tc>
        <w:tc>
          <w:tcPr>
            <w:tcW w:w="1449" w:type="pct"/>
            <w:gridSpan w:val="2"/>
            <w:vAlign w:val="center"/>
          </w:tcPr>
          <w:p>
            <w:pPr>
              <w:widowControl/>
              <w:spacing w:line="30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短时间闪变值Pst（10min测量周期）</w:t>
            </w:r>
          </w:p>
        </w:tc>
        <w:tc>
          <w:tcPr>
            <w:tcW w:w="483" w:type="pct"/>
          </w:tcPr>
          <w:p>
            <w:pPr>
              <w:widowControl/>
              <w:spacing w:before="120" w:beforeLines="50" w:after="120" w:afterLines="50" w:line="240" w:lineRule="auto"/>
              <w:jc w:val="center"/>
              <w:rPr>
                <w:rFonts w:ascii="宋体" w:hAnsi="宋体"/>
                <w:color w:val="auto"/>
                <w:sz w:val="21"/>
                <w:szCs w:val="21"/>
                <w:highlight w:val="none"/>
              </w:rPr>
            </w:pPr>
          </w:p>
        </w:tc>
        <w:tc>
          <w:tcPr>
            <w:tcW w:w="1127"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Pst＜</w:t>
            </w:r>
            <w:r>
              <w:rPr>
                <w:rFonts w:ascii="宋体" w:hAnsi="宋体"/>
                <w:color w:val="auto"/>
                <w:sz w:val="21"/>
                <w:szCs w:val="21"/>
                <w:highlight w:val="none"/>
              </w:rPr>
              <w:t>1</w:t>
            </w:r>
            <w:r>
              <w:rPr>
                <w:rFonts w:hint="eastAsia" w:ascii="宋体" w:hAnsi="宋体"/>
                <w:color w:val="auto"/>
                <w:sz w:val="21"/>
                <w:szCs w:val="21"/>
                <w:highlight w:val="none"/>
              </w:rPr>
              <w:t>(%)</w:t>
            </w:r>
          </w:p>
        </w:tc>
        <w:tc>
          <w:tcPr>
            <w:tcW w:w="885" w:type="pct"/>
          </w:tcPr>
          <w:p>
            <w:pPr>
              <w:widowControl/>
              <w:spacing w:before="120" w:beforeLines="50" w:after="120" w:afterLines="50" w:line="240" w:lineRule="auto"/>
              <w:jc w:val="center"/>
              <w:rPr>
                <w:rFonts w:ascii="宋体" w:hAnsi="宋体"/>
                <w:b/>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3" w:hRule="atLeast"/>
        </w:trPr>
        <w:tc>
          <w:tcPr>
            <w:tcW w:w="411" w:type="pct"/>
            <w:vMerge w:val="continue"/>
          </w:tcPr>
          <w:p>
            <w:pPr>
              <w:widowControl/>
              <w:spacing w:before="120" w:beforeLines="50" w:after="120" w:afterLines="50" w:line="240" w:lineRule="auto"/>
              <w:jc w:val="center"/>
              <w:rPr>
                <w:rFonts w:ascii="宋体" w:hAnsi="宋体"/>
                <w:color w:val="auto"/>
                <w:sz w:val="21"/>
                <w:szCs w:val="21"/>
                <w:highlight w:val="none"/>
              </w:rPr>
            </w:pPr>
          </w:p>
        </w:tc>
        <w:tc>
          <w:tcPr>
            <w:tcW w:w="644" w:type="pct"/>
            <w:vMerge w:val="continue"/>
            <w:vAlign w:val="center"/>
          </w:tcPr>
          <w:p>
            <w:pPr>
              <w:widowControl/>
              <w:spacing w:line="300" w:lineRule="auto"/>
              <w:jc w:val="left"/>
              <w:rPr>
                <w:rFonts w:ascii="宋体" w:hAnsi="宋体"/>
                <w:color w:val="auto"/>
                <w:kern w:val="0"/>
                <w:sz w:val="21"/>
                <w:szCs w:val="21"/>
                <w:highlight w:val="none"/>
              </w:rPr>
            </w:pPr>
          </w:p>
        </w:tc>
        <w:tc>
          <w:tcPr>
            <w:tcW w:w="1449" w:type="pct"/>
            <w:gridSpan w:val="2"/>
            <w:vAlign w:val="center"/>
          </w:tcPr>
          <w:p>
            <w:pPr>
              <w:widowControl/>
              <w:spacing w:line="30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长时间闪变值Plt（2h测量周期）</w:t>
            </w:r>
          </w:p>
        </w:tc>
        <w:tc>
          <w:tcPr>
            <w:tcW w:w="483" w:type="pct"/>
          </w:tcPr>
          <w:p>
            <w:pPr>
              <w:widowControl/>
              <w:spacing w:before="120" w:beforeLines="50" w:after="120" w:afterLines="50" w:line="240" w:lineRule="auto"/>
              <w:jc w:val="center"/>
              <w:rPr>
                <w:rFonts w:ascii="宋体" w:hAnsi="宋体"/>
                <w:color w:val="auto"/>
                <w:sz w:val="21"/>
                <w:szCs w:val="21"/>
                <w:highlight w:val="none"/>
              </w:rPr>
            </w:pPr>
          </w:p>
        </w:tc>
        <w:tc>
          <w:tcPr>
            <w:tcW w:w="1127"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Plt＜</w:t>
            </w:r>
            <w:r>
              <w:rPr>
                <w:rFonts w:ascii="宋体" w:hAnsi="宋体"/>
                <w:color w:val="auto"/>
                <w:sz w:val="21"/>
                <w:szCs w:val="21"/>
                <w:highlight w:val="none"/>
              </w:rPr>
              <w:t>0.8</w:t>
            </w:r>
          </w:p>
        </w:tc>
        <w:tc>
          <w:tcPr>
            <w:tcW w:w="885" w:type="pct"/>
          </w:tcPr>
          <w:p>
            <w:pPr>
              <w:widowControl/>
              <w:spacing w:before="120" w:beforeLines="50" w:after="120" w:afterLines="50" w:line="240" w:lineRule="auto"/>
              <w:jc w:val="center"/>
              <w:rPr>
                <w:rFonts w:ascii="宋体" w:hAnsi="宋体"/>
                <w:b/>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49</w:t>
            </w:r>
          </w:p>
        </w:tc>
        <w:tc>
          <w:tcPr>
            <w:tcW w:w="2093" w:type="pct"/>
            <w:gridSpan w:val="3"/>
            <w:vAlign w:val="center"/>
          </w:tcPr>
          <w:p>
            <w:pPr>
              <w:spacing w:line="240" w:lineRule="exact"/>
              <w:ind w:left="21"/>
              <w:rPr>
                <w:rFonts w:ascii="宋体" w:hAnsi="宋体"/>
                <w:color w:val="auto"/>
                <w:sz w:val="21"/>
                <w:szCs w:val="21"/>
                <w:highlight w:val="none"/>
              </w:rPr>
            </w:pPr>
            <w:r>
              <w:rPr>
                <w:rFonts w:hint="eastAsia" w:ascii="宋体" w:hAnsi="宋体"/>
                <w:color w:val="auto"/>
                <w:sz w:val="21"/>
                <w:szCs w:val="21"/>
                <w:highlight w:val="none"/>
              </w:rPr>
              <w:t>负序电压不平衡度</w:t>
            </w:r>
          </w:p>
        </w:tc>
        <w:tc>
          <w:tcPr>
            <w:tcW w:w="483" w:type="pct"/>
            <w:vAlign w:val="center"/>
          </w:tcPr>
          <w:p>
            <w:pPr>
              <w:widowControl/>
              <w:spacing w:before="120" w:beforeLines="50" w:after="120" w:afterLines="50" w:line="240" w:lineRule="auto"/>
              <w:jc w:val="center"/>
              <w:rPr>
                <w:rFonts w:ascii="宋体" w:hAnsi="宋体"/>
                <w:color w:val="auto"/>
                <w:sz w:val="21"/>
                <w:szCs w:val="21"/>
                <w:highlight w:val="none"/>
              </w:rPr>
            </w:pPr>
          </w:p>
        </w:tc>
        <w:tc>
          <w:tcPr>
            <w:tcW w:w="1127"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公共连接点的负序电压不平衡度应不超过2%，短时不得超过4%；其中由光伏电站引起的负序电压不平衡度应不超过1％，短时不超过2％</w:t>
            </w:r>
          </w:p>
        </w:tc>
        <w:tc>
          <w:tcPr>
            <w:tcW w:w="885" w:type="pct"/>
            <w:vAlign w:val="center"/>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50</w:t>
            </w:r>
          </w:p>
        </w:tc>
        <w:tc>
          <w:tcPr>
            <w:tcW w:w="2093" w:type="pct"/>
            <w:gridSpan w:val="3"/>
            <w:vAlign w:val="center"/>
          </w:tcPr>
          <w:p>
            <w:pPr>
              <w:spacing w:line="240" w:lineRule="exact"/>
              <w:rPr>
                <w:rFonts w:ascii="宋体" w:hAnsi="宋体"/>
                <w:color w:val="auto"/>
                <w:sz w:val="21"/>
                <w:szCs w:val="21"/>
                <w:highlight w:val="none"/>
              </w:rPr>
            </w:pPr>
            <w:r>
              <w:rPr>
                <w:rFonts w:hint="eastAsia" w:ascii="宋体" w:hAnsi="宋体"/>
                <w:color w:val="auto"/>
                <w:sz w:val="21"/>
                <w:szCs w:val="21"/>
                <w:highlight w:val="none"/>
              </w:rPr>
              <w:t>直流分量百分值</w:t>
            </w:r>
          </w:p>
        </w:tc>
        <w:tc>
          <w:tcPr>
            <w:tcW w:w="483" w:type="pct"/>
          </w:tcPr>
          <w:p>
            <w:pPr>
              <w:widowControl/>
              <w:spacing w:before="120" w:beforeLines="50" w:after="120" w:afterLines="50" w:line="240" w:lineRule="auto"/>
              <w:jc w:val="center"/>
              <w:rPr>
                <w:rFonts w:ascii="宋体" w:hAnsi="宋体"/>
                <w:color w:val="auto"/>
                <w:sz w:val="21"/>
                <w:szCs w:val="21"/>
                <w:highlight w:val="none"/>
              </w:rPr>
            </w:pPr>
          </w:p>
        </w:tc>
        <w:tc>
          <w:tcPr>
            <w:tcW w:w="1127"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＜0.</w:t>
            </w:r>
            <w:r>
              <w:rPr>
                <w:rFonts w:ascii="宋体" w:hAnsi="宋体"/>
                <w:color w:val="auto"/>
                <w:sz w:val="21"/>
                <w:szCs w:val="21"/>
                <w:highlight w:val="none"/>
              </w:rPr>
              <w:t>5</w:t>
            </w:r>
            <w:r>
              <w:rPr>
                <w:rFonts w:hint="eastAsia" w:ascii="宋体" w:hAnsi="宋体"/>
                <w:color w:val="auto"/>
                <w:sz w:val="21"/>
                <w:szCs w:val="21"/>
                <w:highlight w:val="none"/>
              </w:rPr>
              <w:t>%</w:t>
            </w:r>
            <w:r>
              <w:rPr>
                <w:rFonts w:ascii="宋体" w:hAnsi="宋体"/>
                <w:color w:val="auto"/>
                <w:sz w:val="21"/>
                <w:szCs w:val="21"/>
                <w:highlight w:val="none"/>
              </w:rPr>
              <w:t>In</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51</w:t>
            </w:r>
          </w:p>
        </w:tc>
        <w:tc>
          <w:tcPr>
            <w:tcW w:w="2093" w:type="pct"/>
            <w:gridSpan w:val="3"/>
            <w:vAlign w:val="center"/>
          </w:tcPr>
          <w:p>
            <w:pPr>
              <w:spacing w:line="240" w:lineRule="exact"/>
              <w:rPr>
                <w:rFonts w:ascii="宋体" w:hAnsi="宋体"/>
                <w:color w:val="auto"/>
                <w:sz w:val="21"/>
                <w:szCs w:val="21"/>
                <w:highlight w:val="none"/>
              </w:rPr>
            </w:pPr>
            <w:r>
              <w:rPr>
                <w:rFonts w:hint="eastAsia" w:ascii="宋体" w:hAnsi="宋体"/>
                <w:color w:val="auto"/>
                <w:sz w:val="21"/>
                <w:szCs w:val="21"/>
                <w:highlight w:val="none"/>
              </w:rPr>
              <w:t>安装方式</w:t>
            </w:r>
          </w:p>
        </w:tc>
        <w:tc>
          <w:tcPr>
            <w:tcW w:w="483" w:type="pct"/>
          </w:tcPr>
          <w:p>
            <w:pPr>
              <w:widowControl/>
              <w:spacing w:before="120" w:beforeLines="50" w:after="120" w:afterLines="50" w:line="240" w:lineRule="auto"/>
              <w:jc w:val="center"/>
              <w:rPr>
                <w:rFonts w:ascii="宋体" w:hAnsi="宋体"/>
                <w:color w:val="auto"/>
                <w:sz w:val="21"/>
                <w:szCs w:val="21"/>
                <w:highlight w:val="none"/>
              </w:rPr>
            </w:pPr>
          </w:p>
        </w:tc>
        <w:tc>
          <w:tcPr>
            <w:tcW w:w="1127"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壁挂式</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trPr>
        <w:tc>
          <w:tcPr>
            <w:tcW w:w="411" w:type="pct"/>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52</w:t>
            </w:r>
          </w:p>
        </w:tc>
        <w:tc>
          <w:tcPr>
            <w:tcW w:w="2093" w:type="pct"/>
            <w:gridSpan w:val="3"/>
            <w:vAlign w:val="center"/>
          </w:tcPr>
          <w:p>
            <w:pPr>
              <w:spacing w:line="240" w:lineRule="exact"/>
              <w:rPr>
                <w:rFonts w:ascii="宋体" w:hAnsi="宋体"/>
                <w:color w:val="auto"/>
                <w:sz w:val="21"/>
                <w:szCs w:val="21"/>
                <w:highlight w:val="none"/>
              </w:rPr>
            </w:pPr>
            <w:r>
              <w:rPr>
                <w:rFonts w:hint="eastAsia" w:ascii="宋体" w:hAnsi="宋体"/>
                <w:color w:val="auto"/>
                <w:sz w:val="21"/>
                <w:szCs w:val="21"/>
                <w:highlight w:val="none"/>
              </w:rPr>
              <w:t>防PID功能</w:t>
            </w:r>
          </w:p>
        </w:tc>
        <w:tc>
          <w:tcPr>
            <w:tcW w:w="483" w:type="pct"/>
          </w:tcPr>
          <w:p>
            <w:pPr>
              <w:widowControl/>
              <w:spacing w:before="120" w:beforeLines="50" w:after="120" w:afterLines="50" w:line="240" w:lineRule="auto"/>
              <w:jc w:val="center"/>
              <w:rPr>
                <w:rFonts w:ascii="宋体" w:hAnsi="宋体"/>
                <w:color w:val="auto"/>
                <w:sz w:val="21"/>
                <w:szCs w:val="21"/>
                <w:highlight w:val="none"/>
              </w:rPr>
            </w:pPr>
          </w:p>
        </w:tc>
        <w:tc>
          <w:tcPr>
            <w:tcW w:w="1127" w:type="pct"/>
            <w:vAlign w:val="center"/>
          </w:tcPr>
          <w:p>
            <w:pPr>
              <w:widowControl/>
              <w:spacing w:before="120" w:beforeLines="50" w:after="120" w:afterLines="50" w:line="240" w:lineRule="auto"/>
              <w:jc w:val="center"/>
              <w:rPr>
                <w:rFonts w:ascii="宋体" w:hAnsi="宋体"/>
                <w:color w:val="auto"/>
                <w:sz w:val="21"/>
                <w:szCs w:val="21"/>
                <w:highlight w:val="none"/>
              </w:rPr>
            </w:pPr>
            <w:r>
              <w:rPr>
                <w:rFonts w:hint="eastAsia" w:ascii="宋体" w:hAnsi="宋体"/>
                <w:color w:val="auto"/>
                <w:sz w:val="21"/>
                <w:szCs w:val="21"/>
                <w:highlight w:val="none"/>
              </w:rPr>
              <w:t>具备</w:t>
            </w:r>
          </w:p>
        </w:tc>
        <w:tc>
          <w:tcPr>
            <w:tcW w:w="885" w:type="pct"/>
          </w:tcPr>
          <w:p>
            <w:pPr>
              <w:widowControl/>
              <w:spacing w:before="120" w:beforeLines="50" w:after="120" w:afterLines="50" w:line="240" w:lineRule="auto"/>
              <w:jc w:val="center"/>
              <w:rPr>
                <w:rFonts w:ascii="宋体" w:hAnsi="宋体"/>
                <w:color w:val="auto"/>
                <w:sz w:val="21"/>
                <w:szCs w:val="21"/>
                <w:highlight w:val="none"/>
              </w:rPr>
            </w:pPr>
          </w:p>
        </w:tc>
      </w:tr>
    </w:tbl>
    <w:p>
      <w:pPr>
        <w:ind w:firstLine="200"/>
        <w:jc w:val="center"/>
        <w:rPr>
          <w:rFonts w:ascii="宋体" w:hAnsi="宋体" w:cs="宋体"/>
          <w:color w:val="auto"/>
          <w:szCs w:val="24"/>
          <w:highlight w:val="none"/>
        </w:rPr>
      </w:pPr>
    </w:p>
    <w:p>
      <w:pPr>
        <w:spacing w:line="240" w:lineRule="auto"/>
        <w:jc w:val="center"/>
        <w:rPr>
          <w:rFonts w:hAnsi="宋体"/>
          <w:color w:val="auto"/>
          <w:sz w:val="21"/>
          <w:szCs w:val="24"/>
          <w:highlight w:val="none"/>
        </w:rPr>
      </w:pPr>
      <w:r>
        <w:rPr>
          <w:rFonts w:hint="eastAsia" w:hAnsi="宋体"/>
          <w:color w:val="auto"/>
          <w:sz w:val="21"/>
          <w:szCs w:val="24"/>
          <w:highlight w:val="none"/>
        </w:rPr>
        <w:t>部分部件参数保证值</w:t>
      </w:r>
    </w:p>
    <w:tbl>
      <w:tblPr>
        <w:tblStyle w:val="34"/>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686"/>
        <w:gridCol w:w="3328"/>
        <w:gridCol w:w="2979"/>
        <w:gridCol w:w="13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cantSplit/>
          <w:trHeight w:val="227" w:hRule="atLeast"/>
        </w:trPr>
        <w:tc>
          <w:tcPr>
            <w:tcW w:w="410" w:type="pct"/>
          </w:tcPr>
          <w:p>
            <w:pPr>
              <w:spacing w:line="430" w:lineRule="exact"/>
              <w:rPr>
                <w:rFonts w:ascii="宋体" w:hAnsi="宋体"/>
                <w:b/>
                <w:color w:val="auto"/>
                <w:sz w:val="21"/>
                <w:szCs w:val="21"/>
                <w:highlight w:val="none"/>
              </w:rPr>
            </w:pPr>
            <w:r>
              <w:rPr>
                <w:rFonts w:hint="eastAsia" w:ascii="宋体" w:hAnsi="宋体"/>
                <w:b/>
                <w:color w:val="auto"/>
                <w:sz w:val="21"/>
                <w:szCs w:val="21"/>
                <w:highlight w:val="none"/>
              </w:rPr>
              <w:t>序号</w:t>
            </w:r>
          </w:p>
        </w:tc>
        <w:tc>
          <w:tcPr>
            <w:tcW w:w="1988" w:type="pct"/>
          </w:tcPr>
          <w:p>
            <w:pPr>
              <w:spacing w:line="430" w:lineRule="exact"/>
              <w:jc w:val="center"/>
              <w:rPr>
                <w:rFonts w:ascii="宋体" w:hAnsi="宋体"/>
                <w:color w:val="auto"/>
                <w:sz w:val="21"/>
                <w:szCs w:val="21"/>
                <w:highlight w:val="none"/>
              </w:rPr>
            </w:pPr>
            <w:r>
              <w:rPr>
                <w:rFonts w:hint="eastAsia" w:ascii="宋体" w:hAnsi="宋体"/>
                <w:color w:val="auto"/>
                <w:sz w:val="21"/>
                <w:szCs w:val="21"/>
                <w:highlight w:val="none"/>
              </w:rPr>
              <w:t>元器件名称</w:t>
            </w:r>
          </w:p>
        </w:tc>
        <w:tc>
          <w:tcPr>
            <w:tcW w:w="1780" w:type="pct"/>
            <w:vAlign w:val="center"/>
          </w:tcPr>
          <w:p>
            <w:pPr>
              <w:spacing w:line="240" w:lineRule="exact"/>
              <w:jc w:val="center"/>
              <w:rPr>
                <w:rFonts w:ascii="宋体" w:hAnsi="宋体"/>
                <w:b/>
                <w:bCs/>
                <w:color w:val="auto"/>
                <w:sz w:val="21"/>
                <w:szCs w:val="21"/>
                <w:highlight w:val="none"/>
              </w:rPr>
            </w:pPr>
            <w:r>
              <w:rPr>
                <w:rFonts w:hint="eastAsia" w:ascii="宋体" w:hAnsi="宋体"/>
                <w:color w:val="auto"/>
                <w:sz w:val="21"/>
                <w:szCs w:val="21"/>
                <w:highlight w:val="none"/>
              </w:rPr>
              <w:t>投标方保证值</w:t>
            </w:r>
          </w:p>
        </w:tc>
        <w:tc>
          <w:tcPr>
            <w:tcW w:w="822" w:type="pct"/>
            <w:vAlign w:val="center"/>
          </w:tcPr>
          <w:p>
            <w:pPr>
              <w:spacing w:line="240" w:lineRule="exact"/>
              <w:jc w:val="center"/>
              <w:rPr>
                <w:rFonts w:ascii="宋体" w:hAnsi="宋体"/>
                <w:color w:val="auto"/>
                <w:sz w:val="21"/>
                <w:szCs w:val="21"/>
                <w:highlight w:val="none"/>
              </w:rPr>
            </w:pPr>
            <w:r>
              <w:rPr>
                <w:rFonts w:hint="eastAsia" w:ascii="宋体" w:hAnsi="宋体"/>
                <w:color w:val="auto"/>
                <w:sz w:val="21"/>
                <w:szCs w:val="21"/>
                <w:highlight w:val="none"/>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cantSplit/>
          <w:trHeight w:val="460" w:hRule="atLeast"/>
        </w:trPr>
        <w:tc>
          <w:tcPr>
            <w:tcW w:w="410" w:type="pct"/>
            <w:vAlign w:val="center"/>
          </w:tcPr>
          <w:p>
            <w:pPr>
              <w:spacing w:line="430" w:lineRule="exact"/>
              <w:jc w:val="center"/>
              <w:rPr>
                <w:rFonts w:ascii="宋体" w:hAnsi="宋体"/>
                <w:b/>
                <w:bCs/>
                <w:color w:val="auto"/>
                <w:sz w:val="21"/>
                <w:szCs w:val="21"/>
                <w:highlight w:val="none"/>
              </w:rPr>
            </w:pPr>
          </w:p>
        </w:tc>
        <w:tc>
          <w:tcPr>
            <w:tcW w:w="1988" w:type="pct"/>
          </w:tcPr>
          <w:p>
            <w:pPr>
              <w:spacing w:line="430" w:lineRule="exact"/>
              <w:rPr>
                <w:rFonts w:ascii="宋体" w:hAnsi="宋体"/>
                <w:color w:val="auto"/>
                <w:sz w:val="21"/>
                <w:szCs w:val="21"/>
                <w:highlight w:val="none"/>
              </w:rPr>
            </w:pPr>
            <w:r>
              <w:rPr>
                <w:rFonts w:hint="eastAsia" w:ascii="宋体" w:hAnsi="宋体"/>
                <w:b/>
                <w:bCs/>
                <w:color w:val="auto"/>
                <w:sz w:val="21"/>
                <w:szCs w:val="21"/>
                <w:highlight w:val="none"/>
              </w:rPr>
              <w:t>交流继电器</w:t>
            </w:r>
          </w:p>
        </w:tc>
        <w:tc>
          <w:tcPr>
            <w:tcW w:w="1780" w:type="pct"/>
            <w:vAlign w:val="center"/>
          </w:tcPr>
          <w:p>
            <w:pPr>
              <w:spacing w:line="240" w:lineRule="exact"/>
              <w:jc w:val="center"/>
              <w:rPr>
                <w:rFonts w:ascii="宋体" w:hAnsi="宋体"/>
                <w:color w:val="auto"/>
                <w:sz w:val="21"/>
                <w:szCs w:val="21"/>
                <w:highlight w:val="none"/>
              </w:rPr>
            </w:pPr>
          </w:p>
        </w:tc>
        <w:tc>
          <w:tcPr>
            <w:tcW w:w="822" w:type="pct"/>
            <w:vAlign w:val="center"/>
          </w:tcPr>
          <w:p>
            <w:pPr>
              <w:spacing w:line="240" w:lineRule="exact"/>
              <w:jc w:val="center"/>
              <w:rPr>
                <w:rFonts w:ascii="宋体" w:hAnsi="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cantSplit/>
          <w:trHeight w:val="460" w:hRule="atLeast"/>
        </w:trPr>
        <w:tc>
          <w:tcPr>
            <w:tcW w:w="410" w:type="pct"/>
            <w:vAlign w:val="center"/>
          </w:tcPr>
          <w:p>
            <w:pPr>
              <w:spacing w:line="430" w:lineRule="exact"/>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988" w:type="pct"/>
          </w:tcPr>
          <w:p>
            <w:pPr>
              <w:spacing w:line="430" w:lineRule="exact"/>
              <w:rPr>
                <w:rFonts w:ascii="宋体" w:hAnsi="宋体"/>
                <w:color w:val="auto"/>
                <w:sz w:val="21"/>
                <w:szCs w:val="21"/>
                <w:highlight w:val="none"/>
              </w:rPr>
            </w:pPr>
            <w:r>
              <w:rPr>
                <w:rFonts w:hint="eastAsia" w:ascii="宋体" w:hAnsi="宋体"/>
                <w:color w:val="auto"/>
                <w:sz w:val="21"/>
                <w:szCs w:val="21"/>
                <w:highlight w:val="none"/>
              </w:rPr>
              <w:t>产地</w:t>
            </w:r>
            <w:r>
              <w:rPr>
                <w:rFonts w:ascii="宋体" w:hAnsi="宋体"/>
                <w:color w:val="auto"/>
                <w:sz w:val="21"/>
                <w:szCs w:val="21"/>
                <w:highlight w:val="none"/>
              </w:rPr>
              <w:t>/</w:t>
            </w:r>
            <w:r>
              <w:rPr>
                <w:rFonts w:hint="eastAsia" w:ascii="宋体" w:hAnsi="宋体"/>
                <w:color w:val="auto"/>
                <w:sz w:val="21"/>
                <w:szCs w:val="21"/>
                <w:highlight w:val="none"/>
              </w:rPr>
              <w:t>制造厂</w:t>
            </w:r>
          </w:p>
        </w:tc>
        <w:tc>
          <w:tcPr>
            <w:tcW w:w="1780" w:type="pct"/>
            <w:vAlign w:val="center"/>
          </w:tcPr>
          <w:p>
            <w:pPr>
              <w:spacing w:line="240" w:lineRule="exact"/>
              <w:jc w:val="center"/>
              <w:rPr>
                <w:rFonts w:ascii="宋体" w:hAnsi="宋体"/>
                <w:color w:val="auto"/>
                <w:sz w:val="21"/>
                <w:szCs w:val="21"/>
                <w:highlight w:val="none"/>
              </w:rPr>
            </w:pPr>
          </w:p>
        </w:tc>
        <w:tc>
          <w:tcPr>
            <w:tcW w:w="822" w:type="pct"/>
            <w:vAlign w:val="center"/>
          </w:tcPr>
          <w:p>
            <w:pPr>
              <w:spacing w:line="240" w:lineRule="exact"/>
              <w:jc w:val="center"/>
              <w:rPr>
                <w:rFonts w:ascii="宋体" w:hAnsi="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cantSplit/>
          <w:trHeight w:val="460" w:hRule="atLeast"/>
        </w:trPr>
        <w:tc>
          <w:tcPr>
            <w:tcW w:w="410" w:type="pct"/>
            <w:vAlign w:val="center"/>
          </w:tcPr>
          <w:p>
            <w:pPr>
              <w:spacing w:line="430" w:lineRule="exact"/>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988" w:type="pct"/>
          </w:tcPr>
          <w:p>
            <w:pPr>
              <w:spacing w:line="430" w:lineRule="exact"/>
              <w:rPr>
                <w:rFonts w:ascii="宋体" w:hAnsi="宋体"/>
                <w:color w:val="auto"/>
                <w:sz w:val="21"/>
                <w:szCs w:val="21"/>
                <w:highlight w:val="none"/>
              </w:rPr>
            </w:pPr>
            <w:r>
              <w:rPr>
                <w:rFonts w:hint="eastAsia" w:ascii="宋体" w:hAnsi="宋体"/>
                <w:color w:val="auto"/>
                <w:sz w:val="21"/>
                <w:szCs w:val="21"/>
                <w:highlight w:val="none"/>
              </w:rPr>
              <w:t>型号</w:t>
            </w:r>
          </w:p>
        </w:tc>
        <w:tc>
          <w:tcPr>
            <w:tcW w:w="1780" w:type="pct"/>
            <w:vAlign w:val="center"/>
          </w:tcPr>
          <w:p>
            <w:pPr>
              <w:spacing w:line="240" w:lineRule="exact"/>
              <w:jc w:val="center"/>
              <w:rPr>
                <w:rFonts w:ascii="宋体" w:hAnsi="宋体"/>
                <w:color w:val="auto"/>
                <w:sz w:val="21"/>
                <w:szCs w:val="21"/>
                <w:highlight w:val="none"/>
              </w:rPr>
            </w:pPr>
          </w:p>
        </w:tc>
        <w:tc>
          <w:tcPr>
            <w:tcW w:w="822" w:type="pct"/>
            <w:vAlign w:val="center"/>
          </w:tcPr>
          <w:p>
            <w:pPr>
              <w:spacing w:line="240" w:lineRule="exact"/>
              <w:jc w:val="center"/>
              <w:rPr>
                <w:rFonts w:ascii="宋体" w:hAnsi="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cantSplit/>
          <w:trHeight w:val="460" w:hRule="atLeast"/>
        </w:trPr>
        <w:tc>
          <w:tcPr>
            <w:tcW w:w="410" w:type="pct"/>
            <w:vAlign w:val="center"/>
          </w:tcPr>
          <w:p>
            <w:pPr>
              <w:spacing w:line="430" w:lineRule="exact"/>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988" w:type="pct"/>
          </w:tcPr>
          <w:p>
            <w:pPr>
              <w:spacing w:line="430" w:lineRule="exact"/>
              <w:rPr>
                <w:rFonts w:ascii="宋体" w:hAnsi="宋体"/>
                <w:color w:val="auto"/>
                <w:sz w:val="21"/>
                <w:szCs w:val="21"/>
                <w:highlight w:val="none"/>
              </w:rPr>
            </w:pPr>
            <w:r>
              <w:rPr>
                <w:rFonts w:hint="eastAsia" w:ascii="宋体" w:hAnsi="宋体"/>
                <w:color w:val="auto"/>
                <w:sz w:val="21"/>
                <w:szCs w:val="21"/>
                <w:highlight w:val="none"/>
              </w:rPr>
              <w:t>额定电压(V)</w:t>
            </w:r>
          </w:p>
        </w:tc>
        <w:tc>
          <w:tcPr>
            <w:tcW w:w="1780" w:type="pct"/>
            <w:vAlign w:val="center"/>
          </w:tcPr>
          <w:p>
            <w:pPr>
              <w:spacing w:line="240" w:lineRule="exact"/>
              <w:jc w:val="center"/>
              <w:rPr>
                <w:rFonts w:ascii="宋体" w:hAnsi="宋体"/>
                <w:color w:val="auto"/>
                <w:sz w:val="21"/>
                <w:szCs w:val="21"/>
                <w:highlight w:val="none"/>
              </w:rPr>
            </w:pPr>
          </w:p>
        </w:tc>
        <w:tc>
          <w:tcPr>
            <w:tcW w:w="822" w:type="pct"/>
            <w:vAlign w:val="center"/>
          </w:tcPr>
          <w:p>
            <w:pPr>
              <w:spacing w:line="240" w:lineRule="exact"/>
              <w:jc w:val="center"/>
              <w:rPr>
                <w:rFonts w:ascii="宋体" w:hAnsi="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cantSplit/>
          <w:trHeight w:val="460" w:hRule="atLeast"/>
        </w:trPr>
        <w:tc>
          <w:tcPr>
            <w:tcW w:w="410" w:type="pct"/>
            <w:vAlign w:val="center"/>
          </w:tcPr>
          <w:p>
            <w:pPr>
              <w:spacing w:line="430" w:lineRule="exact"/>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988" w:type="pct"/>
          </w:tcPr>
          <w:p>
            <w:pPr>
              <w:spacing w:line="430" w:lineRule="exact"/>
              <w:rPr>
                <w:rFonts w:ascii="宋体" w:hAnsi="宋体"/>
                <w:color w:val="auto"/>
                <w:sz w:val="21"/>
                <w:szCs w:val="21"/>
                <w:highlight w:val="none"/>
              </w:rPr>
            </w:pPr>
            <w:r>
              <w:rPr>
                <w:rFonts w:hint="eastAsia" w:ascii="宋体" w:hAnsi="宋体"/>
                <w:color w:val="auto"/>
                <w:sz w:val="21"/>
                <w:szCs w:val="21"/>
                <w:highlight w:val="none"/>
              </w:rPr>
              <w:t>额定绝缘电压(V)</w:t>
            </w:r>
          </w:p>
        </w:tc>
        <w:tc>
          <w:tcPr>
            <w:tcW w:w="1780" w:type="pct"/>
            <w:vAlign w:val="center"/>
          </w:tcPr>
          <w:p>
            <w:pPr>
              <w:spacing w:line="240" w:lineRule="exact"/>
              <w:jc w:val="center"/>
              <w:rPr>
                <w:rFonts w:ascii="宋体" w:hAnsi="宋体"/>
                <w:color w:val="auto"/>
                <w:sz w:val="21"/>
                <w:szCs w:val="21"/>
                <w:highlight w:val="none"/>
              </w:rPr>
            </w:pPr>
          </w:p>
        </w:tc>
        <w:tc>
          <w:tcPr>
            <w:tcW w:w="822" w:type="pct"/>
            <w:vAlign w:val="center"/>
          </w:tcPr>
          <w:p>
            <w:pPr>
              <w:spacing w:line="240" w:lineRule="exact"/>
              <w:jc w:val="center"/>
              <w:rPr>
                <w:rFonts w:ascii="宋体" w:hAnsi="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cantSplit/>
          <w:trHeight w:val="460" w:hRule="atLeast"/>
        </w:trPr>
        <w:tc>
          <w:tcPr>
            <w:tcW w:w="410" w:type="pct"/>
            <w:vAlign w:val="center"/>
          </w:tcPr>
          <w:p>
            <w:pPr>
              <w:spacing w:line="430" w:lineRule="exact"/>
              <w:jc w:val="center"/>
              <w:rPr>
                <w:rFonts w:ascii="宋体" w:hAnsi="宋体"/>
                <w:snapToGrid w:val="0"/>
                <w:color w:val="auto"/>
                <w:sz w:val="21"/>
                <w:szCs w:val="21"/>
                <w:highlight w:val="none"/>
              </w:rPr>
            </w:pPr>
            <w:r>
              <w:rPr>
                <w:rFonts w:hint="eastAsia" w:ascii="宋体" w:hAnsi="宋体"/>
                <w:snapToGrid w:val="0"/>
                <w:color w:val="auto"/>
                <w:sz w:val="21"/>
                <w:szCs w:val="21"/>
                <w:highlight w:val="none"/>
              </w:rPr>
              <w:t>5</w:t>
            </w:r>
          </w:p>
        </w:tc>
        <w:tc>
          <w:tcPr>
            <w:tcW w:w="1988" w:type="pct"/>
          </w:tcPr>
          <w:p>
            <w:pPr>
              <w:spacing w:line="430" w:lineRule="exact"/>
              <w:rPr>
                <w:rFonts w:ascii="宋体" w:hAnsi="宋体"/>
                <w:color w:val="auto"/>
                <w:sz w:val="21"/>
                <w:szCs w:val="21"/>
                <w:highlight w:val="none"/>
              </w:rPr>
            </w:pPr>
            <w:r>
              <w:rPr>
                <w:rFonts w:hint="eastAsia" w:ascii="宋体" w:hAnsi="宋体"/>
                <w:snapToGrid w:val="0"/>
                <w:color w:val="auto"/>
                <w:sz w:val="21"/>
                <w:szCs w:val="21"/>
                <w:highlight w:val="none"/>
              </w:rPr>
              <w:t>额定电流（A）</w:t>
            </w:r>
          </w:p>
        </w:tc>
        <w:tc>
          <w:tcPr>
            <w:tcW w:w="1780" w:type="pct"/>
            <w:vAlign w:val="center"/>
          </w:tcPr>
          <w:p>
            <w:pPr>
              <w:spacing w:line="430" w:lineRule="exact"/>
              <w:jc w:val="center"/>
              <w:rPr>
                <w:rFonts w:ascii="宋体" w:hAnsi="宋体"/>
                <w:b/>
                <w:bCs/>
                <w:color w:val="auto"/>
                <w:sz w:val="21"/>
                <w:szCs w:val="21"/>
                <w:highlight w:val="none"/>
              </w:rPr>
            </w:pPr>
          </w:p>
        </w:tc>
        <w:tc>
          <w:tcPr>
            <w:tcW w:w="822" w:type="pct"/>
            <w:vAlign w:val="center"/>
          </w:tcPr>
          <w:p>
            <w:pPr>
              <w:spacing w:line="240" w:lineRule="exact"/>
              <w:jc w:val="center"/>
              <w:rPr>
                <w:rFonts w:ascii="宋体" w:hAnsi="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cantSplit/>
          <w:trHeight w:val="460" w:hRule="atLeast"/>
        </w:trPr>
        <w:tc>
          <w:tcPr>
            <w:tcW w:w="410" w:type="pct"/>
            <w:vAlign w:val="center"/>
          </w:tcPr>
          <w:p>
            <w:pPr>
              <w:spacing w:line="430" w:lineRule="exact"/>
              <w:jc w:val="center"/>
              <w:rPr>
                <w:rFonts w:ascii="宋体" w:hAnsi="宋体"/>
                <w:b/>
                <w:bCs/>
                <w:color w:val="auto"/>
                <w:sz w:val="21"/>
                <w:szCs w:val="21"/>
                <w:highlight w:val="none"/>
              </w:rPr>
            </w:pPr>
          </w:p>
        </w:tc>
        <w:tc>
          <w:tcPr>
            <w:tcW w:w="1988" w:type="pct"/>
          </w:tcPr>
          <w:p>
            <w:pPr>
              <w:spacing w:line="430" w:lineRule="exact"/>
              <w:rPr>
                <w:rFonts w:ascii="宋体" w:hAnsi="宋体"/>
                <w:color w:val="auto"/>
                <w:sz w:val="21"/>
                <w:szCs w:val="21"/>
                <w:highlight w:val="none"/>
              </w:rPr>
            </w:pPr>
            <w:r>
              <w:rPr>
                <w:rFonts w:hint="eastAsia" w:ascii="宋体" w:hAnsi="宋体"/>
                <w:b/>
                <w:bCs/>
                <w:color w:val="auto"/>
                <w:sz w:val="21"/>
                <w:szCs w:val="21"/>
                <w:highlight w:val="none"/>
              </w:rPr>
              <w:t>直流避雷器</w:t>
            </w:r>
          </w:p>
        </w:tc>
        <w:tc>
          <w:tcPr>
            <w:tcW w:w="1780" w:type="pct"/>
            <w:vAlign w:val="center"/>
          </w:tcPr>
          <w:p>
            <w:pPr>
              <w:spacing w:line="430" w:lineRule="exact"/>
              <w:jc w:val="center"/>
              <w:rPr>
                <w:rFonts w:ascii="宋体" w:hAnsi="宋体"/>
                <w:b/>
                <w:bCs/>
                <w:color w:val="auto"/>
                <w:sz w:val="21"/>
                <w:szCs w:val="21"/>
                <w:highlight w:val="none"/>
              </w:rPr>
            </w:pPr>
          </w:p>
        </w:tc>
        <w:tc>
          <w:tcPr>
            <w:tcW w:w="822" w:type="pct"/>
            <w:vAlign w:val="center"/>
          </w:tcPr>
          <w:p>
            <w:pPr>
              <w:spacing w:line="240" w:lineRule="exact"/>
              <w:jc w:val="center"/>
              <w:rPr>
                <w:rFonts w:ascii="宋体" w:hAnsi="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cantSplit/>
          <w:trHeight w:val="460" w:hRule="atLeast"/>
        </w:trPr>
        <w:tc>
          <w:tcPr>
            <w:tcW w:w="410" w:type="pct"/>
            <w:vAlign w:val="center"/>
          </w:tcPr>
          <w:p>
            <w:pPr>
              <w:spacing w:line="430" w:lineRule="exact"/>
              <w:jc w:val="center"/>
              <w:rPr>
                <w:rFonts w:ascii="宋体" w:hAnsi="宋体"/>
                <w:snapToGrid w:val="0"/>
                <w:color w:val="auto"/>
                <w:sz w:val="21"/>
                <w:szCs w:val="21"/>
                <w:highlight w:val="none"/>
              </w:rPr>
            </w:pPr>
            <w:r>
              <w:rPr>
                <w:rFonts w:hint="eastAsia" w:ascii="宋体" w:hAnsi="宋体"/>
                <w:snapToGrid w:val="0"/>
                <w:color w:val="auto"/>
                <w:sz w:val="21"/>
                <w:szCs w:val="21"/>
                <w:highlight w:val="none"/>
              </w:rPr>
              <w:t>1</w:t>
            </w:r>
          </w:p>
        </w:tc>
        <w:tc>
          <w:tcPr>
            <w:tcW w:w="1988" w:type="pct"/>
          </w:tcPr>
          <w:p>
            <w:pPr>
              <w:spacing w:line="430" w:lineRule="exact"/>
              <w:rPr>
                <w:rFonts w:ascii="宋体" w:hAnsi="宋体"/>
                <w:color w:val="auto"/>
                <w:sz w:val="21"/>
                <w:szCs w:val="21"/>
                <w:highlight w:val="none"/>
              </w:rPr>
            </w:pPr>
            <w:r>
              <w:rPr>
                <w:rFonts w:hint="eastAsia" w:ascii="宋体" w:hAnsi="宋体"/>
                <w:snapToGrid w:val="0"/>
                <w:color w:val="auto"/>
                <w:sz w:val="21"/>
                <w:szCs w:val="21"/>
                <w:highlight w:val="none"/>
              </w:rPr>
              <w:t>型号</w:t>
            </w:r>
          </w:p>
        </w:tc>
        <w:tc>
          <w:tcPr>
            <w:tcW w:w="1780" w:type="pct"/>
            <w:vAlign w:val="center"/>
          </w:tcPr>
          <w:p>
            <w:pPr>
              <w:spacing w:line="430" w:lineRule="exact"/>
              <w:jc w:val="center"/>
              <w:rPr>
                <w:rFonts w:ascii="宋体" w:hAnsi="宋体"/>
                <w:b/>
                <w:bCs/>
                <w:color w:val="auto"/>
                <w:sz w:val="21"/>
                <w:szCs w:val="21"/>
                <w:highlight w:val="none"/>
              </w:rPr>
            </w:pPr>
          </w:p>
        </w:tc>
        <w:tc>
          <w:tcPr>
            <w:tcW w:w="822" w:type="pct"/>
            <w:vAlign w:val="center"/>
          </w:tcPr>
          <w:p>
            <w:pPr>
              <w:spacing w:line="240" w:lineRule="exact"/>
              <w:jc w:val="center"/>
              <w:rPr>
                <w:rFonts w:ascii="宋体" w:hAnsi="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cantSplit/>
          <w:trHeight w:val="460" w:hRule="atLeast"/>
        </w:trPr>
        <w:tc>
          <w:tcPr>
            <w:tcW w:w="410" w:type="pct"/>
            <w:vAlign w:val="center"/>
          </w:tcPr>
          <w:p>
            <w:pPr>
              <w:spacing w:line="430" w:lineRule="exact"/>
              <w:jc w:val="center"/>
              <w:rPr>
                <w:rFonts w:ascii="宋体" w:hAnsi="宋体"/>
                <w:snapToGrid w:val="0"/>
                <w:color w:val="auto"/>
                <w:sz w:val="21"/>
                <w:szCs w:val="21"/>
                <w:highlight w:val="none"/>
              </w:rPr>
            </w:pPr>
            <w:r>
              <w:rPr>
                <w:rFonts w:hint="eastAsia" w:ascii="宋体" w:hAnsi="宋体"/>
                <w:snapToGrid w:val="0"/>
                <w:color w:val="auto"/>
                <w:sz w:val="21"/>
                <w:szCs w:val="21"/>
                <w:highlight w:val="none"/>
              </w:rPr>
              <w:t>2</w:t>
            </w:r>
          </w:p>
        </w:tc>
        <w:tc>
          <w:tcPr>
            <w:tcW w:w="1988" w:type="pct"/>
          </w:tcPr>
          <w:p>
            <w:pPr>
              <w:spacing w:line="430" w:lineRule="exact"/>
              <w:rPr>
                <w:rFonts w:ascii="宋体" w:hAnsi="宋体"/>
                <w:color w:val="auto"/>
                <w:sz w:val="21"/>
                <w:szCs w:val="21"/>
                <w:highlight w:val="none"/>
              </w:rPr>
            </w:pPr>
            <w:r>
              <w:rPr>
                <w:rFonts w:hint="eastAsia" w:ascii="宋体" w:hAnsi="宋体"/>
                <w:snapToGrid w:val="0"/>
                <w:color w:val="auto"/>
                <w:sz w:val="21"/>
                <w:szCs w:val="21"/>
                <w:highlight w:val="none"/>
              </w:rPr>
              <w:t>产地</w:t>
            </w:r>
            <w:r>
              <w:rPr>
                <w:rFonts w:ascii="宋体" w:hAnsi="宋体"/>
                <w:snapToGrid w:val="0"/>
                <w:color w:val="auto"/>
                <w:sz w:val="21"/>
                <w:szCs w:val="21"/>
                <w:highlight w:val="none"/>
              </w:rPr>
              <w:t>/</w:t>
            </w:r>
            <w:r>
              <w:rPr>
                <w:rFonts w:hint="eastAsia" w:ascii="宋体" w:hAnsi="宋体"/>
                <w:snapToGrid w:val="0"/>
                <w:color w:val="auto"/>
                <w:sz w:val="21"/>
                <w:szCs w:val="21"/>
                <w:highlight w:val="none"/>
              </w:rPr>
              <w:t>制造厂</w:t>
            </w:r>
          </w:p>
        </w:tc>
        <w:tc>
          <w:tcPr>
            <w:tcW w:w="1780" w:type="pct"/>
            <w:vAlign w:val="center"/>
          </w:tcPr>
          <w:p>
            <w:pPr>
              <w:spacing w:line="430" w:lineRule="exact"/>
              <w:jc w:val="center"/>
              <w:rPr>
                <w:rFonts w:ascii="宋体" w:hAnsi="宋体"/>
                <w:b/>
                <w:bCs/>
                <w:color w:val="auto"/>
                <w:sz w:val="21"/>
                <w:szCs w:val="21"/>
                <w:highlight w:val="none"/>
              </w:rPr>
            </w:pPr>
          </w:p>
        </w:tc>
        <w:tc>
          <w:tcPr>
            <w:tcW w:w="822" w:type="pct"/>
            <w:vAlign w:val="center"/>
          </w:tcPr>
          <w:p>
            <w:pPr>
              <w:spacing w:line="240" w:lineRule="exact"/>
              <w:jc w:val="center"/>
              <w:rPr>
                <w:rFonts w:ascii="宋体" w:hAnsi="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cantSplit/>
          <w:trHeight w:val="460" w:hRule="atLeast"/>
        </w:trPr>
        <w:tc>
          <w:tcPr>
            <w:tcW w:w="410" w:type="pct"/>
            <w:vAlign w:val="center"/>
          </w:tcPr>
          <w:p>
            <w:pPr>
              <w:spacing w:line="430" w:lineRule="exact"/>
              <w:jc w:val="center"/>
              <w:rPr>
                <w:rFonts w:ascii="宋体" w:hAnsi="宋体"/>
                <w:snapToGrid w:val="0"/>
                <w:color w:val="auto"/>
                <w:sz w:val="21"/>
                <w:szCs w:val="21"/>
                <w:highlight w:val="none"/>
              </w:rPr>
            </w:pPr>
            <w:r>
              <w:rPr>
                <w:rFonts w:hint="eastAsia" w:ascii="宋体" w:hAnsi="宋体"/>
                <w:snapToGrid w:val="0"/>
                <w:color w:val="auto"/>
                <w:sz w:val="21"/>
                <w:szCs w:val="21"/>
                <w:highlight w:val="none"/>
              </w:rPr>
              <w:t>3</w:t>
            </w:r>
          </w:p>
        </w:tc>
        <w:tc>
          <w:tcPr>
            <w:tcW w:w="1988" w:type="pct"/>
          </w:tcPr>
          <w:p>
            <w:pPr>
              <w:spacing w:line="430" w:lineRule="exact"/>
              <w:rPr>
                <w:rFonts w:ascii="宋体" w:hAnsi="宋体"/>
                <w:color w:val="auto"/>
                <w:sz w:val="21"/>
                <w:szCs w:val="21"/>
                <w:highlight w:val="none"/>
              </w:rPr>
            </w:pPr>
            <w:r>
              <w:rPr>
                <w:rFonts w:hint="eastAsia" w:ascii="宋体" w:hAnsi="宋体"/>
                <w:snapToGrid w:val="0"/>
                <w:color w:val="auto"/>
                <w:sz w:val="21"/>
                <w:szCs w:val="21"/>
                <w:highlight w:val="none"/>
              </w:rPr>
              <w:t>额定运行电压(V)</w:t>
            </w:r>
          </w:p>
        </w:tc>
        <w:tc>
          <w:tcPr>
            <w:tcW w:w="1780" w:type="pct"/>
            <w:vAlign w:val="center"/>
          </w:tcPr>
          <w:p>
            <w:pPr>
              <w:spacing w:line="430" w:lineRule="exact"/>
              <w:jc w:val="center"/>
              <w:rPr>
                <w:rFonts w:ascii="宋体" w:hAnsi="宋体"/>
                <w:b/>
                <w:bCs/>
                <w:color w:val="auto"/>
                <w:sz w:val="21"/>
                <w:szCs w:val="21"/>
                <w:highlight w:val="none"/>
              </w:rPr>
            </w:pPr>
          </w:p>
        </w:tc>
        <w:tc>
          <w:tcPr>
            <w:tcW w:w="822" w:type="pct"/>
            <w:vAlign w:val="center"/>
          </w:tcPr>
          <w:p>
            <w:pPr>
              <w:spacing w:line="240" w:lineRule="exact"/>
              <w:jc w:val="center"/>
              <w:rPr>
                <w:rFonts w:ascii="宋体" w:hAnsi="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cantSplit/>
          <w:trHeight w:val="460" w:hRule="atLeast"/>
        </w:trPr>
        <w:tc>
          <w:tcPr>
            <w:tcW w:w="410" w:type="pct"/>
            <w:vAlign w:val="center"/>
          </w:tcPr>
          <w:p>
            <w:pPr>
              <w:spacing w:line="430" w:lineRule="exact"/>
              <w:jc w:val="center"/>
              <w:rPr>
                <w:rFonts w:ascii="宋体" w:hAnsi="宋体"/>
                <w:snapToGrid w:val="0"/>
                <w:color w:val="auto"/>
                <w:sz w:val="21"/>
                <w:szCs w:val="21"/>
                <w:highlight w:val="none"/>
              </w:rPr>
            </w:pPr>
            <w:r>
              <w:rPr>
                <w:rFonts w:hint="eastAsia" w:ascii="宋体" w:hAnsi="宋体"/>
                <w:snapToGrid w:val="0"/>
                <w:color w:val="auto"/>
                <w:sz w:val="21"/>
                <w:szCs w:val="21"/>
                <w:highlight w:val="none"/>
              </w:rPr>
              <w:t>4</w:t>
            </w:r>
          </w:p>
        </w:tc>
        <w:tc>
          <w:tcPr>
            <w:tcW w:w="1988" w:type="pct"/>
          </w:tcPr>
          <w:p>
            <w:pPr>
              <w:spacing w:line="430" w:lineRule="exact"/>
              <w:rPr>
                <w:rFonts w:ascii="宋体" w:hAnsi="宋体"/>
                <w:color w:val="auto"/>
                <w:sz w:val="21"/>
                <w:szCs w:val="21"/>
                <w:highlight w:val="none"/>
              </w:rPr>
            </w:pPr>
            <w:r>
              <w:rPr>
                <w:rFonts w:hint="eastAsia" w:ascii="宋体" w:hAnsi="宋体"/>
                <w:snapToGrid w:val="0"/>
                <w:color w:val="auto"/>
                <w:sz w:val="21"/>
                <w:szCs w:val="21"/>
                <w:highlight w:val="none"/>
              </w:rPr>
              <w:t>最大放电电流</w:t>
            </w:r>
            <w:r>
              <w:rPr>
                <w:rFonts w:ascii="宋体" w:hAnsi="宋体"/>
                <w:snapToGrid w:val="0"/>
                <w:color w:val="auto"/>
                <w:sz w:val="21"/>
                <w:szCs w:val="21"/>
                <w:highlight w:val="none"/>
              </w:rPr>
              <w:t>( 8 / 20</w:t>
            </w:r>
            <w:r>
              <w:rPr>
                <w:rFonts w:hint="eastAsia" w:ascii="宋体" w:hAnsi="宋体"/>
                <w:snapToGrid w:val="0"/>
                <w:color w:val="auto"/>
                <w:sz w:val="21"/>
                <w:szCs w:val="21"/>
                <w:highlight w:val="none"/>
              </w:rPr>
              <w:t>μ</w:t>
            </w:r>
            <w:r>
              <w:rPr>
                <w:rFonts w:ascii="宋体" w:hAnsi="宋体"/>
                <w:snapToGrid w:val="0"/>
                <w:color w:val="auto"/>
                <w:sz w:val="21"/>
                <w:szCs w:val="21"/>
                <w:highlight w:val="none"/>
              </w:rPr>
              <w:t>s</w:t>
            </w:r>
            <w:r>
              <w:rPr>
                <w:rFonts w:hint="eastAsia" w:ascii="宋体" w:hAnsi="宋体"/>
                <w:snapToGrid w:val="0"/>
                <w:color w:val="auto"/>
                <w:sz w:val="21"/>
                <w:szCs w:val="21"/>
                <w:highlight w:val="none"/>
              </w:rPr>
              <w:t>）(kA)</w:t>
            </w:r>
          </w:p>
        </w:tc>
        <w:tc>
          <w:tcPr>
            <w:tcW w:w="1780" w:type="pct"/>
            <w:vAlign w:val="center"/>
          </w:tcPr>
          <w:p>
            <w:pPr>
              <w:spacing w:line="430" w:lineRule="exact"/>
              <w:jc w:val="center"/>
              <w:rPr>
                <w:rFonts w:ascii="宋体" w:hAnsi="宋体"/>
                <w:b/>
                <w:bCs/>
                <w:color w:val="auto"/>
                <w:sz w:val="21"/>
                <w:szCs w:val="21"/>
                <w:highlight w:val="none"/>
              </w:rPr>
            </w:pPr>
          </w:p>
        </w:tc>
        <w:tc>
          <w:tcPr>
            <w:tcW w:w="822" w:type="pct"/>
            <w:vAlign w:val="center"/>
          </w:tcPr>
          <w:p>
            <w:pPr>
              <w:spacing w:line="240" w:lineRule="exact"/>
              <w:jc w:val="center"/>
              <w:rPr>
                <w:rFonts w:ascii="宋体" w:hAnsi="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cantSplit/>
          <w:trHeight w:val="460" w:hRule="atLeast"/>
        </w:trPr>
        <w:tc>
          <w:tcPr>
            <w:tcW w:w="410" w:type="pct"/>
            <w:vAlign w:val="center"/>
          </w:tcPr>
          <w:p>
            <w:pPr>
              <w:spacing w:line="430" w:lineRule="exact"/>
              <w:jc w:val="center"/>
              <w:rPr>
                <w:rFonts w:ascii="宋体" w:hAnsi="宋体"/>
                <w:snapToGrid w:val="0"/>
                <w:color w:val="auto"/>
                <w:sz w:val="21"/>
                <w:szCs w:val="21"/>
                <w:highlight w:val="none"/>
              </w:rPr>
            </w:pPr>
            <w:r>
              <w:rPr>
                <w:rFonts w:hint="eastAsia" w:ascii="宋体" w:hAnsi="宋体"/>
                <w:snapToGrid w:val="0"/>
                <w:color w:val="auto"/>
                <w:sz w:val="21"/>
                <w:szCs w:val="21"/>
                <w:highlight w:val="none"/>
              </w:rPr>
              <w:t>5</w:t>
            </w:r>
          </w:p>
        </w:tc>
        <w:tc>
          <w:tcPr>
            <w:tcW w:w="1988" w:type="pct"/>
          </w:tcPr>
          <w:p>
            <w:pPr>
              <w:spacing w:line="430" w:lineRule="exact"/>
              <w:rPr>
                <w:rFonts w:ascii="宋体" w:hAnsi="宋体"/>
                <w:color w:val="auto"/>
                <w:sz w:val="21"/>
                <w:szCs w:val="21"/>
                <w:highlight w:val="none"/>
              </w:rPr>
            </w:pPr>
            <w:r>
              <w:rPr>
                <w:rFonts w:hint="eastAsia" w:ascii="宋体" w:hAnsi="宋体"/>
                <w:snapToGrid w:val="0"/>
                <w:color w:val="auto"/>
                <w:sz w:val="21"/>
                <w:szCs w:val="21"/>
                <w:highlight w:val="none"/>
              </w:rPr>
              <w:t>额定放电电流</w:t>
            </w:r>
            <w:r>
              <w:rPr>
                <w:rFonts w:ascii="宋体" w:hAnsi="宋体"/>
                <w:snapToGrid w:val="0"/>
                <w:color w:val="auto"/>
                <w:sz w:val="21"/>
                <w:szCs w:val="21"/>
                <w:highlight w:val="none"/>
              </w:rPr>
              <w:t>( 8 / 20</w:t>
            </w:r>
            <w:r>
              <w:rPr>
                <w:rFonts w:hint="eastAsia" w:ascii="宋体" w:hAnsi="宋体"/>
                <w:snapToGrid w:val="0"/>
                <w:color w:val="auto"/>
                <w:sz w:val="21"/>
                <w:szCs w:val="21"/>
                <w:highlight w:val="none"/>
              </w:rPr>
              <w:t>μ</w:t>
            </w:r>
            <w:r>
              <w:rPr>
                <w:rFonts w:ascii="宋体" w:hAnsi="宋体"/>
                <w:snapToGrid w:val="0"/>
                <w:color w:val="auto"/>
                <w:sz w:val="21"/>
                <w:szCs w:val="21"/>
                <w:highlight w:val="none"/>
              </w:rPr>
              <w:t>s</w:t>
            </w:r>
            <w:r>
              <w:rPr>
                <w:rFonts w:hint="eastAsia" w:ascii="宋体" w:hAnsi="宋体"/>
                <w:snapToGrid w:val="0"/>
                <w:color w:val="auto"/>
                <w:sz w:val="21"/>
                <w:szCs w:val="21"/>
                <w:highlight w:val="none"/>
              </w:rPr>
              <w:t>）(kA)</w:t>
            </w:r>
          </w:p>
        </w:tc>
        <w:tc>
          <w:tcPr>
            <w:tcW w:w="1780" w:type="pct"/>
            <w:vAlign w:val="center"/>
          </w:tcPr>
          <w:p>
            <w:pPr>
              <w:spacing w:line="430" w:lineRule="exact"/>
              <w:jc w:val="center"/>
              <w:rPr>
                <w:rFonts w:ascii="宋体" w:hAnsi="宋体"/>
                <w:b/>
                <w:bCs/>
                <w:color w:val="auto"/>
                <w:sz w:val="21"/>
                <w:szCs w:val="21"/>
                <w:highlight w:val="none"/>
              </w:rPr>
            </w:pPr>
          </w:p>
        </w:tc>
        <w:tc>
          <w:tcPr>
            <w:tcW w:w="822" w:type="pct"/>
            <w:vAlign w:val="center"/>
          </w:tcPr>
          <w:p>
            <w:pPr>
              <w:spacing w:line="240" w:lineRule="exact"/>
              <w:jc w:val="center"/>
              <w:rPr>
                <w:rFonts w:ascii="宋体" w:hAnsi="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cantSplit/>
          <w:trHeight w:val="460" w:hRule="atLeast"/>
        </w:trPr>
        <w:tc>
          <w:tcPr>
            <w:tcW w:w="410" w:type="pct"/>
            <w:vAlign w:val="center"/>
          </w:tcPr>
          <w:p>
            <w:pPr>
              <w:spacing w:line="430" w:lineRule="exact"/>
              <w:jc w:val="center"/>
              <w:rPr>
                <w:rFonts w:ascii="宋体" w:hAnsi="宋体"/>
                <w:snapToGrid w:val="0"/>
                <w:color w:val="auto"/>
                <w:sz w:val="21"/>
                <w:szCs w:val="21"/>
                <w:highlight w:val="none"/>
              </w:rPr>
            </w:pPr>
            <w:r>
              <w:rPr>
                <w:rFonts w:hint="eastAsia" w:ascii="宋体" w:hAnsi="宋体"/>
                <w:snapToGrid w:val="0"/>
                <w:color w:val="auto"/>
                <w:sz w:val="21"/>
                <w:szCs w:val="21"/>
                <w:highlight w:val="none"/>
              </w:rPr>
              <w:t>6</w:t>
            </w:r>
          </w:p>
        </w:tc>
        <w:tc>
          <w:tcPr>
            <w:tcW w:w="1988" w:type="pct"/>
          </w:tcPr>
          <w:p>
            <w:pPr>
              <w:spacing w:line="430" w:lineRule="exact"/>
              <w:rPr>
                <w:rFonts w:ascii="宋体" w:hAnsi="宋体"/>
                <w:color w:val="auto"/>
                <w:sz w:val="21"/>
                <w:szCs w:val="21"/>
                <w:highlight w:val="none"/>
              </w:rPr>
            </w:pPr>
            <w:r>
              <w:rPr>
                <w:rFonts w:hint="eastAsia" w:ascii="宋体" w:hAnsi="宋体"/>
                <w:snapToGrid w:val="0"/>
                <w:color w:val="auto"/>
                <w:sz w:val="21"/>
                <w:szCs w:val="21"/>
                <w:highlight w:val="none"/>
              </w:rPr>
              <w:t>额定放电电流放电次数</w:t>
            </w:r>
          </w:p>
        </w:tc>
        <w:tc>
          <w:tcPr>
            <w:tcW w:w="1780" w:type="pct"/>
            <w:vAlign w:val="center"/>
          </w:tcPr>
          <w:p>
            <w:pPr>
              <w:spacing w:line="430" w:lineRule="exact"/>
              <w:jc w:val="center"/>
              <w:rPr>
                <w:rFonts w:ascii="宋体" w:hAnsi="宋体"/>
                <w:b/>
                <w:bCs/>
                <w:color w:val="auto"/>
                <w:sz w:val="21"/>
                <w:szCs w:val="21"/>
                <w:highlight w:val="none"/>
              </w:rPr>
            </w:pPr>
          </w:p>
        </w:tc>
        <w:tc>
          <w:tcPr>
            <w:tcW w:w="822" w:type="pct"/>
            <w:vAlign w:val="center"/>
          </w:tcPr>
          <w:p>
            <w:pPr>
              <w:spacing w:line="240" w:lineRule="exact"/>
              <w:jc w:val="center"/>
              <w:rPr>
                <w:rFonts w:ascii="宋体" w:hAnsi="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cantSplit/>
          <w:trHeight w:val="460" w:hRule="atLeast"/>
        </w:trPr>
        <w:tc>
          <w:tcPr>
            <w:tcW w:w="410" w:type="pct"/>
            <w:vAlign w:val="center"/>
          </w:tcPr>
          <w:p>
            <w:pPr>
              <w:spacing w:line="430" w:lineRule="exact"/>
              <w:jc w:val="center"/>
              <w:rPr>
                <w:rFonts w:ascii="宋体" w:hAnsi="宋体"/>
                <w:snapToGrid w:val="0"/>
                <w:color w:val="auto"/>
                <w:sz w:val="21"/>
                <w:szCs w:val="21"/>
                <w:highlight w:val="none"/>
              </w:rPr>
            </w:pPr>
            <w:r>
              <w:rPr>
                <w:rFonts w:hint="eastAsia" w:ascii="宋体" w:hAnsi="宋体"/>
                <w:snapToGrid w:val="0"/>
                <w:color w:val="auto"/>
                <w:sz w:val="21"/>
                <w:szCs w:val="21"/>
                <w:highlight w:val="none"/>
              </w:rPr>
              <w:t>7</w:t>
            </w:r>
          </w:p>
        </w:tc>
        <w:tc>
          <w:tcPr>
            <w:tcW w:w="1988" w:type="pct"/>
          </w:tcPr>
          <w:p>
            <w:pPr>
              <w:spacing w:line="430" w:lineRule="exact"/>
              <w:rPr>
                <w:rFonts w:ascii="宋体" w:hAnsi="宋体"/>
                <w:color w:val="auto"/>
                <w:sz w:val="21"/>
                <w:szCs w:val="21"/>
                <w:highlight w:val="none"/>
              </w:rPr>
            </w:pPr>
            <w:r>
              <w:rPr>
                <w:rFonts w:hint="eastAsia" w:ascii="宋体" w:hAnsi="宋体"/>
                <w:snapToGrid w:val="0"/>
                <w:color w:val="auto"/>
                <w:sz w:val="21"/>
                <w:szCs w:val="21"/>
                <w:highlight w:val="none"/>
              </w:rPr>
              <w:t>电压保护水平(kV)</w:t>
            </w:r>
          </w:p>
        </w:tc>
        <w:tc>
          <w:tcPr>
            <w:tcW w:w="1780" w:type="pct"/>
            <w:vAlign w:val="center"/>
          </w:tcPr>
          <w:p>
            <w:pPr>
              <w:spacing w:line="430" w:lineRule="exact"/>
              <w:jc w:val="center"/>
              <w:rPr>
                <w:rFonts w:ascii="宋体" w:hAnsi="宋体"/>
                <w:b/>
                <w:bCs/>
                <w:color w:val="auto"/>
                <w:sz w:val="21"/>
                <w:szCs w:val="21"/>
                <w:highlight w:val="none"/>
              </w:rPr>
            </w:pPr>
          </w:p>
        </w:tc>
        <w:tc>
          <w:tcPr>
            <w:tcW w:w="822" w:type="pct"/>
            <w:vAlign w:val="center"/>
          </w:tcPr>
          <w:p>
            <w:pPr>
              <w:spacing w:line="240" w:lineRule="exact"/>
              <w:jc w:val="center"/>
              <w:rPr>
                <w:rFonts w:ascii="宋体" w:hAnsi="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cantSplit/>
          <w:trHeight w:val="460" w:hRule="atLeast"/>
        </w:trPr>
        <w:tc>
          <w:tcPr>
            <w:tcW w:w="410" w:type="pct"/>
            <w:vAlign w:val="center"/>
          </w:tcPr>
          <w:p>
            <w:pPr>
              <w:spacing w:line="430" w:lineRule="exact"/>
              <w:jc w:val="center"/>
              <w:rPr>
                <w:rFonts w:ascii="宋体" w:hAnsi="宋体"/>
                <w:b/>
                <w:bCs/>
                <w:color w:val="auto"/>
                <w:sz w:val="21"/>
                <w:szCs w:val="21"/>
                <w:highlight w:val="none"/>
              </w:rPr>
            </w:pPr>
          </w:p>
        </w:tc>
        <w:tc>
          <w:tcPr>
            <w:tcW w:w="1988" w:type="pct"/>
          </w:tcPr>
          <w:p>
            <w:pPr>
              <w:spacing w:line="430" w:lineRule="exact"/>
              <w:rPr>
                <w:rFonts w:ascii="宋体" w:hAnsi="宋体"/>
                <w:color w:val="auto"/>
                <w:sz w:val="21"/>
                <w:szCs w:val="21"/>
                <w:highlight w:val="none"/>
              </w:rPr>
            </w:pPr>
            <w:r>
              <w:rPr>
                <w:rFonts w:hint="eastAsia" w:ascii="宋体" w:hAnsi="宋体"/>
                <w:b/>
                <w:bCs/>
                <w:color w:val="auto"/>
                <w:sz w:val="21"/>
                <w:szCs w:val="21"/>
                <w:highlight w:val="none"/>
              </w:rPr>
              <w:t>冷却风机</w:t>
            </w:r>
          </w:p>
        </w:tc>
        <w:tc>
          <w:tcPr>
            <w:tcW w:w="1780" w:type="pct"/>
            <w:vAlign w:val="center"/>
          </w:tcPr>
          <w:p>
            <w:pPr>
              <w:spacing w:line="430" w:lineRule="exact"/>
              <w:jc w:val="center"/>
              <w:rPr>
                <w:rFonts w:ascii="宋体" w:hAnsi="宋体"/>
                <w:b/>
                <w:bCs/>
                <w:color w:val="auto"/>
                <w:sz w:val="21"/>
                <w:szCs w:val="21"/>
                <w:highlight w:val="none"/>
              </w:rPr>
            </w:pPr>
          </w:p>
        </w:tc>
        <w:tc>
          <w:tcPr>
            <w:tcW w:w="822" w:type="pct"/>
            <w:vAlign w:val="center"/>
          </w:tcPr>
          <w:p>
            <w:pPr>
              <w:spacing w:line="240" w:lineRule="exact"/>
              <w:jc w:val="center"/>
              <w:rPr>
                <w:rFonts w:ascii="宋体" w:hAnsi="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cantSplit/>
          <w:trHeight w:val="460" w:hRule="atLeast"/>
        </w:trPr>
        <w:tc>
          <w:tcPr>
            <w:tcW w:w="410" w:type="pct"/>
            <w:vAlign w:val="center"/>
          </w:tcPr>
          <w:p>
            <w:pPr>
              <w:spacing w:line="430" w:lineRule="exact"/>
              <w:jc w:val="center"/>
              <w:rPr>
                <w:rFonts w:ascii="宋体" w:hAnsi="宋体"/>
                <w:snapToGrid w:val="0"/>
                <w:color w:val="auto"/>
                <w:sz w:val="21"/>
                <w:szCs w:val="21"/>
                <w:highlight w:val="none"/>
              </w:rPr>
            </w:pPr>
            <w:r>
              <w:rPr>
                <w:rFonts w:hint="eastAsia" w:ascii="宋体" w:hAnsi="宋体"/>
                <w:snapToGrid w:val="0"/>
                <w:color w:val="auto"/>
                <w:sz w:val="21"/>
                <w:szCs w:val="21"/>
                <w:highlight w:val="none"/>
              </w:rPr>
              <w:t>1</w:t>
            </w:r>
          </w:p>
        </w:tc>
        <w:tc>
          <w:tcPr>
            <w:tcW w:w="1988" w:type="pct"/>
          </w:tcPr>
          <w:p>
            <w:pPr>
              <w:spacing w:line="430" w:lineRule="exact"/>
              <w:rPr>
                <w:rFonts w:ascii="宋体" w:hAnsi="宋体"/>
                <w:color w:val="auto"/>
                <w:sz w:val="21"/>
                <w:szCs w:val="21"/>
                <w:highlight w:val="none"/>
              </w:rPr>
            </w:pPr>
            <w:r>
              <w:rPr>
                <w:rFonts w:hint="eastAsia" w:ascii="宋体" w:hAnsi="宋体"/>
                <w:snapToGrid w:val="0"/>
                <w:color w:val="auto"/>
                <w:sz w:val="21"/>
                <w:szCs w:val="21"/>
                <w:highlight w:val="none"/>
              </w:rPr>
              <w:t>型号</w:t>
            </w:r>
          </w:p>
        </w:tc>
        <w:tc>
          <w:tcPr>
            <w:tcW w:w="1780" w:type="pct"/>
            <w:vAlign w:val="center"/>
          </w:tcPr>
          <w:p>
            <w:pPr>
              <w:spacing w:line="430" w:lineRule="exact"/>
              <w:jc w:val="center"/>
              <w:rPr>
                <w:rFonts w:ascii="宋体" w:hAnsi="宋体"/>
                <w:b/>
                <w:bCs/>
                <w:color w:val="auto"/>
                <w:sz w:val="21"/>
                <w:szCs w:val="21"/>
                <w:highlight w:val="none"/>
              </w:rPr>
            </w:pPr>
          </w:p>
        </w:tc>
        <w:tc>
          <w:tcPr>
            <w:tcW w:w="822" w:type="pct"/>
            <w:vAlign w:val="center"/>
          </w:tcPr>
          <w:p>
            <w:pPr>
              <w:spacing w:line="240" w:lineRule="exact"/>
              <w:jc w:val="center"/>
              <w:rPr>
                <w:rFonts w:ascii="宋体" w:hAnsi="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cantSplit/>
          <w:trHeight w:val="460" w:hRule="atLeast"/>
        </w:trPr>
        <w:tc>
          <w:tcPr>
            <w:tcW w:w="410" w:type="pct"/>
            <w:vAlign w:val="center"/>
          </w:tcPr>
          <w:p>
            <w:pPr>
              <w:spacing w:line="430" w:lineRule="exact"/>
              <w:jc w:val="center"/>
              <w:rPr>
                <w:rFonts w:ascii="宋体" w:hAnsi="宋体"/>
                <w:snapToGrid w:val="0"/>
                <w:color w:val="auto"/>
                <w:sz w:val="21"/>
                <w:szCs w:val="21"/>
                <w:highlight w:val="none"/>
              </w:rPr>
            </w:pPr>
            <w:r>
              <w:rPr>
                <w:rFonts w:hint="eastAsia" w:ascii="宋体" w:hAnsi="宋体"/>
                <w:snapToGrid w:val="0"/>
                <w:color w:val="auto"/>
                <w:sz w:val="21"/>
                <w:szCs w:val="21"/>
                <w:highlight w:val="none"/>
              </w:rPr>
              <w:t>2</w:t>
            </w:r>
          </w:p>
        </w:tc>
        <w:tc>
          <w:tcPr>
            <w:tcW w:w="1988" w:type="pct"/>
          </w:tcPr>
          <w:p>
            <w:pPr>
              <w:spacing w:line="430" w:lineRule="exact"/>
              <w:rPr>
                <w:rFonts w:ascii="宋体" w:hAnsi="宋体"/>
                <w:color w:val="auto"/>
                <w:sz w:val="21"/>
                <w:szCs w:val="21"/>
                <w:highlight w:val="none"/>
              </w:rPr>
            </w:pPr>
            <w:r>
              <w:rPr>
                <w:rFonts w:hint="eastAsia" w:ascii="宋体" w:hAnsi="宋体"/>
                <w:snapToGrid w:val="0"/>
                <w:color w:val="auto"/>
                <w:sz w:val="21"/>
                <w:szCs w:val="21"/>
                <w:highlight w:val="none"/>
              </w:rPr>
              <w:t>产地</w:t>
            </w:r>
            <w:r>
              <w:rPr>
                <w:rFonts w:ascii="宋体" w:hAnsi="宋体"/>
                <w:snapToGrid w:val="0"/>
                <w:color w:val="auto"/>
                <w:sz w:val="21"/>
                <w:szCs w:val="21"/>
                <w:highlight w:val="none"/>
              </w:rPr>
              <w:t>/</w:t>
            </w:r>
            <w:r>
              <w:rPr>
                <w:rFonts w:hint="eastAsia" w:ascii="宋体" w:hAnsi="宋体"/>
                <w:snapToGrid w:val="0"/>
                <w:color w:val="auto"/>
                <w:sz w:val="21"/>
                <w:szCs w:val="21"/>
                <w:highlight w:val="none"/>
              </w:rPr>
              <w:t>制造厂</w:t>
            </w:r>
          </w:p>
        </w:tc>
        <w:tc>
          <w:tcPr>
            <w:tcW w:w="1780" w:type="pct"/>
            <w:vAlign w:val="center"/>
          </w:tcPr>
          <w:p>
            <w:pPr>
              <w:spacing w:line="430" w:lineRule="exact"/>
              <w:jc w:val="center"/>
              <w:rPr>
                <w:rFonts w:ascii="宋体" w:hAnsi="宋体"/>
                <w:b/>
                <w:bCs/>
                <w:color w:val="auto"/>
                <w:sz w:val="21"/>
                <w:szCs w:val="21"/>
                <w:highlight w:val="none"/>
              </w:rPr>
            </w:pPr>
          </w:p>
        </w:tc>
        <w:tc>
          <w:tcPr>
            <w:tcW w:w="822" w:type="pct"/>
            <w:vAlign w:val="center"/>
          </w:tcPr>
          <w:p>
            <w:pPr>
              <w:spacing w:line="240" w:lineRule="exact"/>
              <w:jc w:val="center"/>
              <w:rPr>
                <w:rFonts w:ascii="宋体" w:hAnsi="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cantSplit/>
          <w:trHeight w:val="460" w:hRule="atLeast"/>
        </w:trPr>
        <w:tc>
          <w:tcPr>
            <w:tcW w:w="410" w:type="pct"/>
            <w:vAlign w:val="center"/>
          </w:tcPr>
          <w:p>
            <w:pPr>
              <w:spacing w:line="430" w:lineRule="exact"/>
              <w:jc w:val="center"/>
              <w:rPr>
                <w:rFonts w:ascii="宋体" w:hAnsi="宋体"/>
                <w:snapToGrid w:val="0"/>
                <w:color w:val="auto"/>
                <w:sz w:val="21"/>
                <w:szCs w:val="21"/>
                <w:highlight w:val="none"/>
              </w:rPr>
            </w:pPr>
            <w:r>
              <w:rPr>
                <w:rFonts w:hint="eastAsia" w:ascii="宋体" w:hAnsi="宋体"/>
                <w:snapToGrid w:val="0"/>
                <w:color w:val="auto"/>
                <w:sz w:val="21"/>
                <w:szCs w:val="21"/>
                <w:highlight w:val="none"/>
              </w:rPr>
              <w:t>3</w:t>
            </w:r>
          </w:p>
        </w:tc>
        <w:tc>
          <w:tcPr>
            <w:tcW w:w="1988" w:type="pct"/>
          </w:tcPr>
          <w:p>
            <w:pPr>
              <w:spacing w:line="430" w:lineRule="exact"/>
              <w:rPr>
                <w:rFonts w:ascii="宋体" w:hAnsi="宋体"/>
                <w:color w:val="auto"/>
                <w:sz w:val="21"/>
                <w:szCs w:val="21"/>
                <w:highlight w:val="none"/>
              </w:rPr>
            </w:pPr>
            <w:r>
              <w:rPr>
                <w:rFonts w:hint="eastAsia" w:ascii="宋体" w:hAnsi="宋体"/>
                <w:snapToGrid w:val="0"/>
                <w:color w:val="auto"/>
                <w:sz w:val="21"/>
                <w:szCs w:val="21"/>
                <w:highlight w:val="none"/>
              </w:rPr>
              <w:t>额定功率(kW)</w:t>
            </w:r>
          </w:p>
        </w:tc>
        <w:tc>
          <w:tcPr>
            <w:tcW w:w="1780" w:type="pct"/>
            <w:vAlign w:val="center"/>
          </w:tcPr>
          <w:p>
            <w:pPr>
              <w:spacing w:line="430" w:lineRule="exact"/>
              <w:jc w:val="center"/>
              <w:rPr>
                <w:rFonts w:ascii="宋体" w:hAnsi="宋体"/>
                <w:b/>
                <w:bCs/>
                <w:color w:val="auto"/>
                <w:sz w:val="21"/>
                <w:szCs w:val="21"/>
                <w:highlight w:val="none"/>
              </w:rPr>
            </w:pPr>
          </w:p>
        </w:tc>
        <w:tc>
          <w:tcPr>
            <w:tcW w:w="822" w:type="pct"/>
            <w:vAlign w:val="center"/>
          </w:tcPr>
          <w:p>
            <w:pPr>
              <w:spacing w:line="240" w:lineRule="exact"/>
              <w:jc w:val="center"/>
              <w:rPr>
                <w:rFonts w:ascii="宋体" w:hAnsi="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cantSplit/>
          <w:trHeight w:val="460" w:hRule="atLeast"/>
        </w:trPr>
        <w:tc>
          <w:tcPr>
            <w:tcW w:w="410" w:type="pct"/>
            <w:vAlign w:val="center"/>
          </w:tcPr>
          <w:p>
            <w:pPr>
              <w:spacing w:line="430" w:lineRule="exact"/>
              <w:jc w:val="center"/>
              <w:rPr>
                <w:rFonts w:ascii="宋体" w:hAnsi="宋体"/>
                <w:snapToGrid w:val="0"/>
                <w:color w:val="auto"/>
                <w:sz w:val="21"/>
                <w:szCs w:val="21"/>
                <w:highlight w:val="none"/>
              </w:rPr>
            </w:pPr>
            <w:r>
              <w:rPr>
                <w:rFonts w:hint="eastAsia" w:ascii="宋体" w:hAnsi="宋体"/>
                <w:snapToGrid w:val="0"/>
                <w:color w:val="auto"/>
                <w:sz w:val="21"/>
                <w:szCs w:val="21"/>
                <w:highlight w:val="none"/>
              </w:rPr>
              <w:t>4</w:t>
            </w:r>
          </w:p>
        </w:tc>
        <w:tc>
          <w:tcPr>
            <w:tcW w:w="1988" w:type="pct"/>
          </w:tcPr>
          <w:p>
            <w:pPr>
              <w:spacing w:line="430" w:lineRule="exact"/>
              <w:rPr>
                <w:rFonts w:ascii="宋体" w:hAnsi="宋体"/>
                <w:color w:val="auto"/>
                <w:sz w:val="21"/>
                <w:szCs w:val="21"/>
                <w:highlight w:val="none"/>
              </w:rPr>
            </w:pPr>
            <w:r>
              <w:rPr>
                <w:rFonts w:hint="eastAsia" w:ascii="宋体" w:hAnsi="宋体"/>
                <w:snapToGrid w:val="0"/>
                <w:color w:val="auto"/>
                <w:sz w:val="21"/>
                <w:szCs w:val="21"/>
                <w:highlight w:val="none"/>
              </w:rPr>
              <w:t>额定电压（kV）</w:t>
            </w:r>
          </w:p>
        </w:tc>
        <w:tc>
          <w:tcPr>
            <w:tcW w:w="1780" w:type="pct"/>
            <w:vAlign w:val="center"/>
          </w:tcPr>
          <w:p>
            <w:pPr>
              <w:spacing w:line="430" w:lineRule="exact"/>
              <w:jc w:val="center"/>
              <w:rPr>
                <w:rFonts w:ascii="宋体" w:hAnsi="宋体"/>
                <w:b/>
                <w:bCs/>
                <w:color w:val="auto"/>
                <w:sz w:val="21"/>
                <w:szCs w:val="21"/>
                <w:highlight w:val="none"/>
              </w:rPr>
            </w:pPr>
          </w:p>
        </w:tc>
        <w:tc>
          <w:tcPr>
            <w:tcW w:w="822" w:type="pct"/>
            <w:vAlign w:val="center"/>
          </w:tcPr>
          <w:p>
            <w:pPr>
              <w:spacing w:line="240" w:lineRule="exact"/>
              <w:jc w:val="center"/>
              <w:rPr>
                <w:rFonts w:ascii="宋体" w:hAnsi="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cantSplit/>
          <w:trHeight w:val="460" w:hRule="atLeast"/>
        </w:trPr>
        <w:tc>
          <w:tcPr>
            <w:tcW w:w="410" w:type="pct"/>
            <w:vAlign w:val="center"/>
          </w:tcPr>
          <w:p>
            <w:pPr>
              <w:spacing w:line="430" w:lineRule="exact"/>
              <w:jc w:val="center"/>
              <w:rPr>
                <w:rFonts w:ascii="宋体" w:hAnsi="宋体"/>
                <w:snapToGrid w:val="0"/>
                <w:color w:val="auto"/>
                <w:sz w:val="21"/>
                <w:szCs w:val="21"/>
                <w:highlight w:val="none"/>
              </w:rPr>
            </w:pPr>
            <w:r>
              <w:rPr>
                <w:rFonts w:hint="eastAsia" w:ascii="宋体" w:hAnsi="宋体"/>
                <w:snapToGrid w:val="0"/>
                <w:color w:val="auto"/>
                <w:sz w:val="21"/>
                <w:szCs w:val="21"/>
                <w:highlight w:val="none"/>
              </w:rPr>
              <w:t>5</w:t>
            </w:r>
          </w:p>
        </w:tc>
        <w:tc>
          <w:tcPr>
            <w:tcW w:w="1988" w:type="pct"/>
          </w:tcPr>
          <w:p>
            <w:pPr>
              <w:spacing w:line="430" w:lineRule="exact"/>
              <w:rPr>
                <w:rFonts w:ascii="宋体" w:hAnsi="宋体"/>
                <w:color w:val="auto"/>
                <w:sz w:val="21"/>
                <w:szCs w:val="21"/>
                <w:highlight w:val="none"/>
              </w:rPr>
            </w:pPr>
            <w:r>
              <w:rPr>
                <w:rFonts w:hint="eastAsia" w:ascii="宋体" w:hAnsi="宋体"/>
                <w:snapToGrid w:val="0"/>
                <w:color w:val="auto"/>
                <w:sz w:val="21"/>
                <w:szCs w:val="21"/>
                <w:highlight w:val="none"/>
              </w:rPr>
              <w:t>额定排风量（m</w:t>
            </w:r>
            <w:r>
              <w:rPr>
                <w:rFonts w:hint="eastAsia" w:ascii="宋体" w:hAnsi="宋体"/>
                <w:snapToGrid w:val="0"/>
                <w:color w:val="auto"/>
                <w:sz w:val="21"/>
                <w:szCs w:val="21"/>
                <w:highlight w:val="none"/>
                <w:vertAlign w:val="superscript"/>
              </w:rPr>
              <w:t>3</w:t>
            </w:r>
            <w:r>
              <w:rPr>
                <w:rFonts w:hint="eastAsia" w:ascii="宋体" w:hAnsi="宋体"/>
                <w:snapToGrid w:val="0"/>
                <w:color w:val="auto"/>
                <w:sz w:val="21"/>
                <w:szCs w:val="21"/>
                <w:highlight w:val="none"/>
              </w:rPr>
              <w:t>/s）</w:t>
            </w:r>
          </w:p>
        </w:tc>
        <w:tc>
          <w:tcPr>
            <w:tcW w:w="1780" w:type="pct"/>
            <w:vAlign w:val="center"/>
          </w:tcPr>
          <w:p>
            <w:pPr>
              <w:spacing w:line="430" w:lineRule="exact"/>
              <w:jc w:val="center"/>
              <w:rPr>
                <w:rFonts w:ascii="宋体" w:hAnsi="宋体"/>
                <w:b/>
                <w:bCs/>
                <w:color w:val="auto"/>
                <w:sz w:val="21"/>
                <w:szCs w:val="21"/>
                <w:highlight w:val="none"/>
              </w:rPr>
            </w:pPr>
          </w:p>
        </w:tc>
        <w:tc>
          <w:tcPr>
            <w:tcW w:w="822" w:type="pct"/>
            <w:vAlign w:val="center"/>
          </w:tcPr>
          <w:p>
            <w:pPr>
              <w:spacing w:line="240" w:lineRule="exact"/>
              <w:jc w:val="center"/>
              <w:rPr>
                <w:rFonts w:ascii="宋体" w:hAnsi="宋体"/>
                <w:color w:val="auto"/>
                <w:sz w:val="21"/>
                <w:szCs w:val="21"/>
                <w:highlight w:val="none"/>
              </w:rPr>
            </w:pPr>
          </w:p>
        </w:tc>
      </w:tr>
    </w:tbl>
    <w:p>
      <w:pPr>
        <w:spacing w:line="240" w:lineRule="auto"/>
        <w:rPr>
          <w:color w:val="auto"/>
          <w:sz w:val="21"/>
          <w:szCs w:val="24"/>
          <w:highlight w:val="none"/>
        </w:rPr>
      </w:pPr>
    </w:p>
    <w:p>
      <w:pPr>
        <w:ind w:firstLine="200"/>
        <w:rPr>
          <w:rFonts w:ascii="宋体" w:hAnsi="宋体" w:cs="宋体"/>
          <w:color w:val="auto"/>
          <w:szCs w:val="24"/>
          <w:highlight w:val="none"/>
        </w:rPr>
      </w:pPr>
      <w:r>
        <w:rPr>
          <w:rFonts w:hint="eastAsia" w:ascii="宋体" w:hAnsi="宋体"/>
          <w:b/>
          <w:color w:val="auto"/>
          <w:sz w:val="21"/>
          <w:szCs w:val="21"/>
          <w:highlight w:val="none"/>
        </w:rPr>
        <w:t>站控管理系统性能指标</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8"/>
        <w:gridCol w:w="2380"/>
        <w:gridCol w:w="2711"/>
        <w:gridCol w:w="25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7" w:type="pct"/>
          </w:tcPr>
          <w:p>
            <w:pPr>
              <w:ind w:firstLine="211" w:firstLineChars="100"/>
              <w:rPr>
                <w:rFonts w:ascii="宋体" w:hAnsi="宋体"/>
                <w:b/>
                <w:color w:val="auto"/>
                <w:sz w:val="21"/>
                <w:szCs w:val="21"/>
                <w:highlight w:val="none"/>
              </w:rPr>
            </w:pPr>
            <w:r>
              <w:rPr>
                <w:rFonts w:hint="eastAsia" w:ascii="宋体" w:hAnsi="宋体"/>
                <w:b/>
                <w:color w:val="auto"/>
                <w:sz w:val="21"/>
                <w:szCs w:val="21"/>
                <w:highlight w:val="none"/>
              </w:rPr>
              <w:t>序号</w:t>
            </w:r>
          </w:p>
        </w:tc>
        <w:tc>
          <w:tcPr>
            <w:tcW w:w="1395" w:type="pct"/>
          </w:tcPr>
          <w:p>
            <w:pPr>
              <w:rPr>
                <w:rFonts w:ascii="宋体" w:hAnsi="宋体"/>
                <w:b/>
                <w:color w:val="auto"/>
                <w:sz w:val="21"/>
                <w:szCs w:val="21"/>
                <w:highlight w:val="none"/>
              </w:rPr>
            </w:pPr>
            <w:r>
              <w:rPr>
                <w:rFonts w:hint="eastAsia" w:ascii="宋体" w:hAnsi="宋体"/>
                <w:b/>
                <w:color w:val="auto"/>
                <w:sz w:val="21"/>
                <w:szCs w:val="21"/>
                <w:highlight w:val="none"/>
              </w:rPr>
              <w:t>名称</w:t>
            </w:r>
          </w:p>
        </w:tc>
        <w:tc>
          <w:tcPr>
            <w:tcW w:w="1589" w:type="pct"/>
          </w:tcPr>
          <w:p>
            <w:pPr>
              <w:ind w:left="-293" w:leftChars="-122" w:firstLine="224" w:firstLineChars="107"/>
              <w:rPr>
                <w:rFonts w:ascii="宋体" w:hAnsi="宋体"/>
                <w:color w:val="auto"/>
                <w:sz w:val="21"/>
                <w:szCs w:val="21"/>
                <w:highlight w:val="none"/>
              </w:rPr>
            </w:pPr>
            <w:r>
              <w:rPr>
                <w:rFonts w:hint="eastAsia" w:ascii="宋体" w:hAnsi="宋体"/>
                <w:color w:val="auto"/>
                <w:sz w:val="21"/>
                <w:szCs w:val="21"/>
                <w:highlight w:val="none"/>
              </w:rPr>
              <w:t>要求值</w:t>
            </w:r>
          </w:p>
        </w:tc>
        <w:tc>
          <w:tcPr>
            <w:tcW w:w="1518" w:type="pct"/>
          </w:tcPr>
          <w:p>
            <w:pPr>
              <w:rPr>
                <w:rFonts w:ascii="宋体" w:hAnsi="宋体"/>
                <w:color w:val="auto"/>
                <w:sz w:val="21"/>
                <w:szCs w:val="21"/>
                <w:highlight w:val="none"/>
              </w:rPr>
            </w:pPr>
            <w:r>
              <w:rPr>
                <w:rFonts w:hint="eastAsia" w:ascii="宋体" w:hAnsi="宋体"/>
                <w:color w:val="auto"/>
                <w:sz w:val="21"/>
                <w:szCs w:val="21"/>
                <w:highlight w:val="none"/>
              </w:rPr>
              <w:t>投标方保证值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7" w:type="pct"/>
          </w:tcPr>
          <w:p>
            <w:pPr>
              <w:rPr>
                <w:rFonts w:ascii="宋体" w:hAnsi="宋体"/>
                <w:color w:val="auto"/>
                <w:sz w:val="21"/>
                <w:szCs w:val="21"/>
                <w:highlight w:val="none"/>
              </w:rPr>
            </w:pPr>
            <w:r>
              <w:rPr>
                <w:rFonts w:hint="eastAsia" w:ascii="宋体" w:hAnsi="宋体"/>
                <w:color w:val="auto"/>
                <w:sz w:val="21"/>
                <w:szCs w:val="21"/>
                <w:highlight w:val="none"/>
              </w:rPr>
              <w:t>（1）</w:t>
            </w:r>
          </w:p>
        </w:tc>
        <w:tc>
          <w:tcPr>
            <w:tcW w:w="1395" w:type="pct"/>
          </w:tcPr>
          <w:p>
            <w:pPr>
              <w:rPr>
                <w:rFonts w:ascii="宋体" w:hAnsi="宋体"/>
                <w:color w:val="auto"/>
                <w:sz w:val="21"/>
                <w:szCs w:val="21"/>
                <w:highlight w:val="none"/>
              </w:rPr>
            </w:pPr>
            <w:r>
              <w:rPr>
                <w:rFonts w:hint="eastAsia" w:ascii="宋体" w:hAnsi="宋体"/>
                <w:color w:val="auto"/>
                <w:sz w:val="21"/>
                <w:szCs w:val="21"/>
                <w:highlight w:val="none"/>
              </w:rPr>
              <w:t>模拟量测量误差</w:t>
            </w:r>
          </w:p>
        </w:tc>
        <w:tc>
          <w:tcPr>
            <w:tcW w:w="1589" w:type="pct"/>
          </w:tcPr>
          <w:p>
            <w:pPr>
              <w:ind w:left="-293" w:leftChars="-122" w:firstLine="224" w:firstLineChars="107"/>
              <w:rPr>
                <w:rFonts w:ascii="宋体" w:hAnsi="宋体"/>
                <w:color w:val="auto"/>
                <w:sz w:val="21"/>
                <w:szCs w:val="21"/>
                <w:highlight w:val="none"/>
              </w:rPr>
            </w:pPr>
            <w:r>
              <w:rPr>
                <w:rFonts w:hint="eastAsia" w:ascii="宋体" w:hAnsi="宋体"/>
                <w:color w:val="auto"/>
                <w:sz w:val="21"/>
                <w:szCs w:val="21"/>
                <w:highlight w:val="none"/>
              </w:rPr>
              <w:t>≤0.2%</w:t>
            </w:r>
          </w:p>
        </w:tc>
        <w:tc>
          <w:tcPr>
            <w:tcW w:w="1518" w:type="pct"/>
          </w:tcPr>
          <w:p>
            <w:pP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7" w:type="pct"/>
          </w:tcPr>
          <w:p>
            <w:pPr>
              <w:rPr>
                <w:rFonts w:ascii="宋体" w:hAnsi="宋体"/>
                <w:color w:val="auto"/>
                <w:sz w:val="21"/>
                <w:szCs w:val="21"/>
                <w:highlight w:val="none"/>
              </w:rPr>
            </w:pPr>
            <w:r>
              <w:rPr>
                <w:rFonts w:hint="eastAsia" w:ascii="宋体" w:hAnsi="宋体"/>
                <w:color w:val="auto"/>
                <w:sz w:val="21"/>
                <w:szCs w:val="21"/>
                <w:highlight w:val="none"/>
              </w:rPr>
              <w:t>（2）</w:t>
            </w:r>
          </w:p>
        </w:tc>
        <w:tc>
          <w:tcPr>
            <w:tcW w:w="1395" w:type="pct"/>
          </w:tcPr>
          <w:p>
            <w:pPr>
              <w:rPr>
                <w:rFonts w:ascii="宋体" w:hAnsi="宋体"/>
                <w:color w:val="auto"/>
                <w:sz w:val="21"/>
                <w:szCs w:val="21"/>
                <w:highlight w:val="none"/>
              </w:rPr>
            </w:pPr>
            <w:r>
              <w:rPr>
                <w:rFonts w:hint="eastAsia" w:ascii="宋体" w:hAnsi="宋体"/>
                <w:color w:val="auto"/>
                <w:sz w:val="21"/>
                <w:szCs w:val="21"/>
                <w:highlight w:val="none"/>
              </w:rPr>
              <w:t>电网频率测量误差</w:t>
            </w:r>
          </w:p>
        </w:tc>
        <w:tc>
          <w:tcPr>
            <w:tcW w:w="1589" w:type="pct"/>
          </w:tcPr>
          <w:p>
            <w:pPr>
              <w:ind w:left="-293" w:leftChars="-122" w:firstLine="224" w:firstLineChars="107"/>
              <w:rPr>
                <w:rFonts w:ascii="宋体" w:hAnsi="宋体"/>
                <w:color w:val="auto"/>
                <w:sz w:val="21"/>
                <w:szCs w:val="21"/>
                <w:highlight w:val="none"/>
              </w:rPr>
            </w:pPr>
            <w:r>
              <w:rPr>
                <w:rFonts w:hint="eastAsia" w:ascii="宋体" w:hAnsi="宋体"/>
                <w:color w:val="auto"/>
                <w:sz w:val="21"/>
                <w:szCs w:val="21"/>
                <w:highlight w:val="none"/>
              </w:rPr>
              <w:t>≤0.01Hz</w:t>
            </w:r>
          </w:p>
        </w:tc>
        <w:tc>
          <w:tcPr>
            <w:tcW w:w="1518" w:type="pct"/>
          </w:tcPr>
          <w:p>
            <w:pP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7" w:type="pct"/>
            <w:vAlign w:val="center"/>
          </w:tcPr>
          <w:p>
            <w:pPr>
              <w:rPr>
                <w:rFonts w:ascii="宋体" w:hAnsi="宋体"/>
                <w:color w:val="auto"/>
                <w:sz w:val="21"/>
                <w:szCs w:val="21"/>
                <w:highlight w:val="none"/>
              </w:rPr>
            </w:pPr>
            <w:r>
              <w:rPr>
                <w:rFonts w:hint="eastAsia" w:ascii="宋体" w:hAnsi="宋体"/>
                <w:color w:val="auto"/>
                <w:sz w:val="21"/>
                <w:szCs w:val="21"/>
                <w:highlight w:val="none"/>
              </w:rPr>
              <w:t>（3）</w:t>
            </w:r>
          </w:p>
        </w:tc>
        <w:tc>
          <w:tcPr>
            <w:tcW w:w="1395" w:type="pct"/>
            <w:vAlign w:val="center"/>
          </w:tcPr>
          <w:p>
            <w:pPr>
              <w:rPr>
                <w:rFonts w:ascii="宋体" w:hAnsi="宋体"/>
                <w:color w:val="auto"/>
                <w:sz w:val="21"/>
                <w:szCs w:val="21"/>
                <w:highlight w:val="none"/>
              </w:rPr>
            </w:pPr>
            <w:r>
              <w:rPr>
                <w:rFonts w:hint="eastAsia" w:ascii="宋体" w:hAnsi="宋体"/>
                <w:color w:val="auto"/>
                <w:sz w:val="21"/>
                <w:szCs w:val="21"/>
                <w:highlight w:val="none"/>
              </w:rPr>
              <w:t>事件顺序记录分辨率</w:t>
            </w:r>
          </w:p>
        </w:tc>
        <w:tc>
          <w:tcPr>
            <w:tcW w:w="1589" w:type="pct"/>
            <w:vAlign w:val="center"/>
          </w:tcPr>
          <w:p>
            <w:pPr>
              <w:rPr>
                <w:rFonts w:ascii="宋体" w:hAnsi="宋体"/>
                <w:color w:val="auto"/>
                <w:sz w:val="21"/>
                <w:szCs w:val="21"/>
                <w:highlight w:val="none"/>
              </w:rPr>
            </w:pPr>
            <w:r>
              <w:rPr>
                <w:rFonts w:hint="eastAsia" w:ascii="宋体" w:hAnsi="宋体"/>
                <w:color w:val="auto"/>
                <w:sz w:val="21"/>
                <w:szCs w:val="21"/>
                <w:highlight w:val="none"/>
              </w:rPr>
              <w:t>站控层≤2ms，间隔层测控装置≤2ms</w:t>
            </w:r>
          </w:p>
        </w:tc>
        <w:tc>
          <w:tcPr>
            <w:tcW w:w="1518" w:type="pct"/>
            <w:vAlign w:val="center"/>
          </w:tcPr>
          <w:p>
            <w:pP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7" w:type="pct"/>
            <w:vAlign w:val="center"/>
          </w:tcPr>
          <w:p>
            <w:pPr>
              <w:rPr>
                <w:rFonts w:ascii="宋体" w:hAnsi="宋体"/>
                <w:color w:val="auto"/>
                <w:sz w:val="21"/>
                <w:szCs w:val="21"/>
                <w:highlight w:val="none"/>
              </w:rPr>
            </w:pPr>
            <w:r>
              <w:rPr>
                <w:rFonts w:hint="eastAsia" w:ascii="宋体" w:hAnsi="宋体"/>
                <w:color w:val="auto"/>
                <w:sz w:val="21"/>
                <w:szCs w:val="21"/>
                <w:highlight w:val="none"/>
              </w:rPr>
              <w:t>（4）</w:t>
            </w:r>
          </w:p>
        </w:tc>
        <w:tc>
          <w:tcPr>
            <w:tcW w:w="1395" w:type="pct"/>
            <w:vAlign w:val="center"/>
          </w:tcPr>
          <w:p>
            <w:pPr>
              <w:rPr>
                <w:rFonts w:ascii="宋体" w:hAnsi="宋体"/>
                <w:color w:val="auto"/>
                <w:sz w:val="21"/>
                <w:szCs w:val="21"/>
                <w:highlight w:val="none"/>
              </w:rPr>
            </w:pPr>
            <w:r>
              <w:rPr>
                <w:rFonts w:hint="eastAsia" w:ascii="宋体" w:hAnsi="宋体"/>
                <w:color w:val="auto"/>
                <w:sz w:val="21"/>
                <w:szCs w:val="21"/>
                <w:highlight w:val="none"/>
              </w:rPr>
              <w:t>模拟量越死区传送时间（至站控层显示器）</w:t>
            </w:r>
          </w:p>
        </w:tc>
        <w:tc>
          <w:tcPr>
            <w:tcW w:w="1589" w:type="pct"/>
            <w:vAlign w:val="center"/>
          </w:tcPr>
          <w:p>
            <w:pPr>
              <w:tabs>
                <w:tab w:val="left" w:pos="2700"/>
              </w:tabs>
              <w:textAlignment w:val="center"/>
              <w:rPr>
                <w:rFonts w:ascii="宋体" w:hAnsi="宋体"/>
                <w:color w:val="auto"/>
                <w:sz w:val="21"/>
                <w:szCs w:val="21"/>
                <w:highlight w:val="none"/>
              </w:rPr>
            </w:pPr>
            <w:r>
              <w:rPr>
                <w:rFonts w:hint="eastAsia" w:ascii="宋体" w:hAnsi="宋体"/>
                <w:color w:val="auto"/>
                <w:sz w:val="21"/>
                <w:szCs w:val="21"/>
                <w:highlight w:val="none"/>
              </w:rPr>
              <w:t>≤2s</w:t>
            </w:r>
          </w:p>
          <w:p>
            <w:pPr>
              <w:rPr>
                <w:rFonts w:ascii="宋体" w:hAnsi="宋体"/>
                <w:color w:val="auto"/>
                <w:sz w:val="21"/>
                <w:szCs w:val="21"/>
                <w:highlight w:val="none"/>
              </w:rPr>
            </w:pPr>
          </w:p>
        </w:tc>
        <w:tc>
          <w:tcPr>
            <w:tcW w:w="1518" w:type="pct"/>
            <w:vAlign w:val="center"/>
          </w:tcPr>
          <w:p>
            <w:pP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7" w:type="pct"/>
            <w:vAlign w:val="center"/>
          </w:tcPr>
          <w:p>
            <w:pPr>
              <w:rPr>
                <w:rFonts w:ascii="宋体" w:hAnsi="宋体"/>
                <w:color w:val="auto"/>
                <w:sz w:val="21"/>
                <w:szCs w:val="21"/>
                <w:highlight w:val="none"/>
              </w:rPr>
            </w:pPr>
            <w:r>
              <w:rPr>
                <w:rFonts w:hint="eastAsia" w:ascii="宋体" w:hAnsi="宋体"/>
                <w:color w:val="auto"/>
                <w:sz w:val="21"/>
                <w:szCs w:val="21"/>
                <w:highlight w:val="none"/>
              </w:rPr>
              <w:t>（5）</w:t>
            </w:r>
          </w:p>
        </w:tc>
        <w:tc>
          <w:tcPr>
            <w:tcW w:w="1395" w:type="pct"/>
            <w:vAlign w:val="center"/>
          </w:tcPr>
          <w:p>
            <w:pPr>
              <w:rPr>
                <w:rFonts w:ascii="宋体" w:hAnsi="宋体"/>
                <w:color w:val="auto"/>
                <w:sz w:val="21"/>
                <w:szCs w:val="21"/>
                <w:highlight w:val="none"/>
              </w:rPr>
            </w:pPr>
            <w:r>
              <w:rPr>
                <w:rFonts w:hint="eastAsia" w:ascii="宋体" w:hAnsi="宋体"/>
                <w:color w:val="auto"/>
                <w:sz w:val="21"/>
                <w:szCs w:val="21"/>
                <w:highlight w:val="none"/>
              </w:rPr>
              <w:t>开关量变位传送时间（至站控层显示器）</w:t>
            </w:r>
          </w:p>
        </w:tc>
        <w:tc>
          <w:tcPr>
            <w:tcW w:w="1589" w:type="pct"/>
            <w:vAlign w:val="center"/>
          </w:tcPr>
          <w:p>
            <w:pPr>
              <w:rPr>
                <w:rFonts w:ascii="宋体" w:hAnsi="宋体"/>
                <w:color w:val="auto"/>
                <w:sz w:val="21"/>
                <w:szCs w:val="21"/>
                <w:highlight w:val="none"/>
              </w:rPr>
            </w:pPr>
            <w:r>
              <w:rPr>
                <w:rFonts w:hint="eastAsia" w:ascii="宋体" w:hAnsi="宋体"/>
                <w:color w:val="auto"/>
                <w:sz w:val="21"/>
                <w:szCs w:val="21"/>
                <w:highlight w:val="none"/>
              </w:rPr>
              <w:t>≤1s</w:t>
            </w:r>
          </w:p>
        </w:tc>
        <w:tc>
          <w:tcPr>
            <w:tcW w:w="1518" w:type="pct"/>
            <w:vAlign w:val="center"/>
          </w:tcPr>
          <w:p>
            <w:pP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7" w:type="pct"/>
            <w:vAlign w:val="center"/>
          </w:tcPr>
          <w:p>
            <w:pPr>
              <w:rPr>
                <w:rFonts w:ascii="宋体" w:hAnsi="宋体"/>
                <w:color w:val="auto"/>
                <w:sz w:val="21"/>
                <w:szCs w:val="21"/>
                <w:highlight w:val="none"/>
              </w:rPr>
            </w:pPr>
            <w:r>
              <w:rPr>
                <w:rFonts w:hint="eastAsia" w:ascii="宋体" w:hAnsi="宋体"/>
                <w:color w:val="auto"/>
                <w:sz w:val="21"/>
                <w:szCs w:val="21"/>
                <w:highlight w:val="none"/>
              </w:rPr>
              <w:t>（6）</w:t>
            </w:r>
          </w:p>
        </w:tc>
        <w:tc>
          <w:tcPr>
            <w:tcW w:w="1395" w:type="pct"/>
            <w:vAlign w:val="center"/>
          </w:tcPr>
          <w:p>
            <w:pPr>
              <w:rPr>
                <w:rFonts w:ascii="宋体" w:hAnsi="宋体"/>
                <w:color w:val="auto"/>
                <w:sz w:val="21"/>
                <w:szCs w:val="21"/>
                <w:highlight w:val="none"/>
              </w:rPr>
            </w:pPr>
            <w:r>
              <w:rPr>
                <w:rFonts w:hint="eastAsia" w:ascii="宋体" w:hAnsi="宋体"/>
                <w:color w:val="auto"/>
                <w:sz w:val="21"/>
                <w:szCs w:val="21"/>
                <w:highlight w:val="none"/>
              </w:rPr>
              <w:t>遥测信息响应时间（从I/O输入端至远动工作站出口）</w:t>
            </w:r>
          </w:p>
        </w:tc>
        <w:tc>
          <w:tcPr>
            <w:tcW w:w="1589" w:type="pct"/>
            <w:vAlign w:val="center"/>
          </w:tcPr>
          <w:p>
            <w:pPr>
              <w:tabs>
                <w:tab w:val="left" w:pos="2700"/>
              </w:tabs>
              <w:textAlignment w:val="center"/>
              <w:rPr>
                <w:rFonts w:ascii="宋体" w:hAnsi="宋体"/>
                <w:color w:val="auto"/>
                <w:sz w:val="21"/>
                <w:szCs w:val="21"/>
                <w:highlight w:val="none"/>
              </w:rPr>
            </w:pPr>
            <w:r>
              <w:rPr>
                <w:rFonts w:hint="eastAsia" w:ascii="宋体" w:hAnsi="宋体"/>
                <w:color w:val="auto"/>
                <w:sz w:val="21"/>
                <w:szCs w:val="21"/>
                <w:highlight w:val="none"/>
              </w:rPr>
              <w:t>≤3s</w:t>
            </w:r>
          </w:p>
          <w:p>
            <w:pPr>
              <w:rPr>
                <w:rFonts w:ascii="宋体" w:hAnsi="宋体"/>
                <w:color w:val="auto"/>
                <w:sz w:val="21"/>
                <w:szCs w:val="21"/>
                <w:highlight w:val="none"/>
              </w:rPr>
            </w:pPr>
          </w:p>
        </w:tc>
        <w:tc>
          <w:tcPr>
            <w:tcW w:w="1518" w:type="pct"/>
            <w:vAlign w:val="center"/>
          </w:tcPr>
          <w:p>
            <w:pP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7" w:type="pct"/>
            <w:vAlign w:val="center"/>
          </w:tcPr>
          <w:p>
            <w:pPr>
              <w:rPr>
                <w:rFonts w:ascii="宋体" w:hAnsi="宋体"/>
                <w:color w:val="auto"/>
                <w:sz w:val="21"/>
                <w:szCs w:val="21"/>
                <w:highlight w:val="none"/>
              </w:rPr>
            </w:pPr>
            <w:r>
              <w:rPr>
                <w:rFonts w:hint="eastAsia" w:ascii="宋体" w:hAnsi="宋体"/>
                <w:color w:val="auto"/>
                <w:sz w:val="21"/>
                <w:szCs w:val="21"/>
                <w:highlight w:val="none"/>
              </w:rPr>
              <w:t>（7）</w:t>
            </w:r>
          </w:p>
        </w:tc>
        <w:tc>
          <w:tcPr>
            <w:tcW w:w="1395" w:type="pct"/>
            <w:vAlign w:val="center"/>
          </w:tcPr>
          <w:p>
            <w:pPr>
              <w:rPr>
                <w:rFonts w:ascii="宋体" w:hAnsi="宋体"/>
                <w:color w:val="auto"/>
                <w:sz w:val="21"/>
                <w:szCs w:val="21"/>
                <w:highlight w:val="none"/>
              </w:rPr>
            </w:pPr>
            <w:r>
              <w:rPr>
                <w:rFonts w:hint="eastAsia" w:ascii="宋体" w:hAnsi="宋体"/>
                <w:color w:val="auto"/>
                <w:sz w:val="21"/>
                <w:szCs w:val="21"/>
                <w:highlight w:val="none"/>
              </w:rPr>
              <w:t>遥信变化响应时间（从I/O输入端至远动工作站出口）</w:t>
            </w:r>
          </w:p>
        </w:tc>
        <w:tc>
          <w:tcPr>
            <w:tcW w:w="1589" w:type="pct"/>
            <w:vAlign w:val="center"/>
          </w:tcPr>
          <w:p>
            <w:pPr>
              <w:tabs>
                <w:tab w:val="left" w:pos="2700"/>
              </w:tabs>
              <w:textAlignment w:val="center"/>
              <w:rPr>
                <w:rFonts w:ascii="宋体" w:hAnsi="宋体"/>
                <w:color w:val="auto"/>
                <w:sz w:val="21"/>
                <w:szCs w:val="21"/>
                <w:highlight w:val="none"/>
              </w:rPr>
            </w:pPr>
            <w:r>
              <w:rPr>
                <w:rFonts w:hint="eastAsia" w:ascii="宋体" w:hAnsi="宋体"/>
                <w:color w:val="auto"/>
                <w:sz w:val="21"/>
                <w:szCs w:val="21"/>
                <w:highlight w:val="none"/>
              </w:rPr>
              <w:t>≤2s</w:t>
            </w:r>
          </w:p>
          <w:p>
            <w:pPr>
              <w:rPr>
                <w:rFonts w:ascii="宋体" w:hAnsi="宋体"/>
                <w:color w:val="auto"/>
                <w:sz w:val="21"/>
                <w:szCs w:val="21"/>
                <w:highlight w:val="none"/>
              </w:rPr>
            </w:pPr>
          </w:p>
        </w:tc>
        <w:tc>
          <w:tcPr>
            <w:tcW w:w="1518" w:type="pct"/>
            <w:vAlign w:val="center"/>
          </w:tcPr>
          <w:p>
            <w:pP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7" w:type="pct"/>
            <w:vAlign w:val="center"/>
          </w:tcPr>
          <w:p>
            <w:pPr>
              <w:rPr>
                <w:rFonts w:ascii="宋体" w:hAnsi="宋体"/>
                <w:color w:val="auto"/>
                <w:sz w:val="21"/>
                <w:szCs w:val="21"/>
                <w:highlight w:val="none"/>
              </w:rPr>
            </w:pPr>
            <w:r>
              <w:rPr>
                <w:rFonts w:hint="eastAsia" w:ascii="宋体" w:hAnsi="宋体"/>
                <w:color w:val="auto"/>
                <w:sz w:val="21"/>
                <w:szCs w:val="21"/>
                <w:highlight w:val="none"/>
              </w:rPr>
              <w:t>（8）</w:t>
            </w:r>
          </w:p>
        </w:tc>
        <w:tc>
          <w:tcPr>
            <w:tcW w:w="1395" w:type="pct"/>
            <w:vAlign w:val="center"/>
          </w:tcPr>
          <w:p>
            <w:pPr>
              <w:rPr>
                <w:rFonts w:ascii="宋体" w:hAnsi="宋体"/>
                <w:color w:val="auto"/>
                <w:sz w:val="21"/>
                <w:szCs w:val="21"/>
                <w:highlight w:val="none"/>
              </w:rPr>
            </w:pPr>
            <w:r>
              <w:rPr>
                <w:rFonts w:hint="eastAsia" w:ascii="宋体" w:hAnsi="宋体"/>
                <w:color w:val="auto"/>
                <w:sz w:val="21"/>
                <w:szCs w:val="21"/>
                <w:highlight w:val="none"/>
              </w:rPr>
              <w:t>控制命令从生成到输出的时间</w:t>
            </w:r>
          </w:p>
        </w:tc>
        <w:tc>
          <w:tcPr>
            <w:tcW w:w="1589" w:type="pct"/>
            <w:vAlign w:val="center"/>
          </w:tcPr>
          <w:p>
            <w:pPr>
              <w:tabs>
                <w:tab w:val="left" w:pos="2700"/>
              </w:tabs>
              <w:textAlignment w:val="center"/>
              <w:rPr>
                <w:rFonts w:ascii="宋体" w:hAnsi="宋体"/>
                <w:color w:val="auto"/>
                <w:sz w:val="21"/>
                <w:szCs w:val="21"/>
                <w:highlight w:val="none"/>
              </w:rPr>
            </w:pPr>
            <w:r>
              <w:rPr>
                <w:rFonts w:hint="eastAsia" w:ascii="宋体" w:hAnsi="宋体"/>
                <w:color w:val="auto"/>
                <w:sz w:val="21"/>
                <w:szCs w:val="21"/>
                <w:highlight w:val="none"/>
              </w:rPr>
              <w:t>≤1s</w:t>
            </w:r>
          </w:p>
          <w:p>
            <w:pPr>
              <w:rPr>
                <w:rFonts w:ascii="宋体" w:hAnsi="宋体"/>
                <w:color w:val="auto"/>
                <w:sz w:val="21"/>
                <w:szCs w:val="21"/>
                <w:highlight w:val="none"/>
              </w:rPr>
            </w:pPr>
          </w:p>
        </w:tc>
        <w:tc>
          <w:tcPr>
            <w:tcW w:w="1518" w:type="pct"/>
            <w:vAlign w:val="center"/>
          </w:tcPr>
          <w:p>
            <w:pP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7" w:type="pct"/>
            <w:vAlign w:val="center"/>
          </w:tcPr>
          <w:p>
            <w:pPr>
              <w:rPr>
                <w:rFonts w:ascii="宋体" w:hAnsi="宋体"/>
                <w:color w:val="auto"/>
                <w:sz w:val="21"/>
                <w:szCs w:val="21"/>
                <w:highlight w:val="none"/>
              </w:rPr>
            </w:pPr>
            <w:r>
              <w:rPr>
                <w:rFonts w:hint="eastAsia" w:ascii="宋体" w:hAnsi="宋体"/>
                <w:color w:val="auto"/>
                <w:sz w:val="21"/>
                <w:szCs w:val="21"/>
                <w:highlight w:val="none"/>
              </w:rPr>
              <w:t>（9）</w:t>
            </w:r>
          </w:p>
        </w:tc>
        <w:tc>
          <w:tcPr>
            <w:tcW w:w="1395" w:type="pct"/>
            <w:vAlign w:val="center"/>
          </w:tcPr>
          <w:p>
            <w:pPr>
              <w:rPr>
                <w:rFonts w:ascii="宋体" w:hAnsi="宋体"/>
                <w:color w:val="auto"/>
                <w:sz w:val="21"/>
                <w:szCs w:val="21"/>
                <w:highlight w:val="none"/>
              </w:rPr>
            </w:pPr>
            <w:r>
              <w:rPr>
                <w:rFonts w:hint="eastAsia" w:ascii="宋体" w:hAnsi="宋体"/>
                <w:color w:val="auto"/>
                <w:sz w:val="21"/>
                <w:szCs w:val="21"/>
                <w:highlight w:val="none"/>
              </w:rPr>
              <w:t>双机系统年可用率</w:t>
            </w:r>
          </w:p>
        </w:tc>
        <w:tc>
          <w:tcPr>
            <w:tcW w:w="1589" w:type="pct"/>
            <w:vAlign w:val="center"/>
          </w:tcPr>
          <w:p>
            <w:pPr>
              <w:rPr>
                <w:rFonts w:ascii="宋体" w:hAnsi="宋体"/>
                <w:color w:val="auto"/>
                <w:sz w:val="21"/>
                <w:szCs w:val="21"/>
                <w:highlight w:val="none"/>
              </w:rPr>
            </w:pPr>
            <w:r>
              <w:rPr>
                <w:rFonts w:hint="eastAsia" w:ascii="宋体" w:hAnsi="宋体"/>
                <w:color w:val="auto"/>
                <w:sz w:val="21"/>
                <w:szCs w:val="21"/>
                <w:highlight w:val="none"/>
              </w:rPr>
              <w:t>≥99.98％</w:t>
            </w:r>
          </w:p>
        </w:tc>
        <w:tc>
          <w:tcPr>
            <w:tcW w:w="1518" w:type="pct"/>
            <w:vAlign w:val="center"/>
          </w:tcPr>
          <w:p>
            <w:pP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7" w:type="pct"/>
            <w:vAlign w:val="center"/>
          </w:tcPr>
          <w:p>
            <w:pPr>
              <w:rPr>
                <w:rFonts w:ascii="宋体" w:hAnsi="宋体"/>
                <w:color w:val="auto"/>
                <w:sz w:val="21"/>
                <w:szCs w:val="21"/>
                <w:highlight w:val="none"/>
              </w:rPr>
            </w:pPr>
            <w:r>
              <w:rPr>
                <w:rFonts w:hint="eastAsia" w:ascii="宋体" w:hAnsi="宋体"/>
                <w:color w:val="auto"/>
                <w:sz w:val="21"/>
                <w:szCs w:val="21"/>
                <w:highlight w:val="none"/>
              </w:rPr>
              <w:t>（10）</w:t>
            </w:r>
          </w:p>
        </w:tc>
        <w:tc>
          <w:tcPr>
            <w:tcW w:w="1395" w:type="pct"/>
            <w:vAlign w:val="center"/>
          </w:tcPr>
          <w:p>
            <w:pPr>
              <w:rPr>
                <w:rFonts w:ascii="宋体" w:hAnsi="宋体"/>
                <w:color w:val="auto"/>
                <w:sz w:val="21"/>
                <w:szCs w:val="21"/>
                <w:highlight w:val="none"/>
              </w:rPr>
            </w:pPr>
            <w:r>
              <w:rPr>
                <w:rFonts w:hint="eastAsia" w:ascii="宋体" w:hAnsi="宋体"/>
                <w:color w:val="auto"/>
                <w:sz w:val="21"/>
                <w:szCs w:val="21"/>
                <w:highlight w:val="none"/>
              </w:rPr>
              <w:t>控制操作正确率</w:t>
            </w:r>
          </w:p>
        </w:tc>
        <w:tc>
          <w:tcPr>
            <w:tcW w:w="1589" w:type="pct"/>
            <w:vAlign w:val="center"/>
          </w:tcPr>
          <w:p>
            <w:pPr>
              <w:rPr>
                <w:rFonts w:ascii="宋体" w:hAnsi="宋体"/>
                <w:color w:val="auto"/>
                <w:sz w:val="21"/>
                <w:szCs w:val="21"/>
                <w:highlight w:val="none"/>
              </w:rPr>
            </w:pPr>
            <w:r>
              <w:rPr>
                <w:rFonts w:hint="eastAsia" w:ascii="宋体" w:hAnsi="宋体"/>
                <w:color w:val="auto"/>
                <w:sz w:val="21"/>
                <w:szCs w:val="21"/>
                <w:highlight w:val="none"/>
              </w:rPr>
              <w:t>100％</w:t>
            </w:r>
          </w:p>
        </w:tc>
        <w:tc>
          <w:tcPr>
            <w:tcW w:w="1518" w:type="pct"/>
            <w:vAlign w:val="center"/>
          </w:tcPr>
          <w:p>
            <w:pP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7" w:type="pct"/>
            <w:vAlign w:val="center"/>
          </w:tcPr>
          <w:p>
            <w:pPr>
              <w:rPr>
                <w:rFonts w:ascii="宋体" w:hAnsi="宋体"/>
                <w:color w:val="auto"/>
                <w:sz w:val="21"/>
                <w:szCs w:val="21"/>
                <w:highlight w:val="none"/>
              </w:rPr>
            </w:pPr>
            <w:r>
              <w:rPr>
                <w:rFonts w:hint="eastAsia" w:ascii="宋体" w:hAnsi="宋体"/>
                <w:color w:val="auto"/>
                <w:sz w:val="21"/>
                <w:szCs w:val="21"/>
                <w:highlight w:val="none"/>
              </w:rPr>
              <w:t>（11）</w:t>
            </w:r>
          </w:p>
        </w:tc>
        <w:tc>
          <w:tcPr>
            <w:tcW w:w="1395" w:type="pct"/>
            <w:vAlign w:val="center"/>
          </w:tcPr>
          <w:p>
            <w:pPr>
              <w:rPr>
                <w:rFonts w:ascii="宋体" w:hAnsi="宋体"/>
                <w:color w:val="auto"/>
                <w:sz w:val="21"/>
                <w:szCs w:val="21"/>
                <w:highlight w:val="none"/>
              </w:rPr>
            </w:pPr>
            <w:r>
              <w:rPr>
                <w:rFonts w:hint="eastAsia" w:ascii="宋体" w:hAnsi="宋体"/>
                <w:color w:val="auto"/>
                <w:sz w:val="21"/>
                <w:szCs w:val="21"/>
                <w:highlight w:val="none"/>
              </w:rPr>
              <w:t>站控层平均无故障间隔时间（MTBF）</w:t>
            </w:r>
          </w:p>
        </w:tc>
        <w:tc>
          <w:tcPr>
            <w:tcW w:w="1589" w:type="pct"/>
            <w:vAlign w:val="center"/>
          </w:tcPr>
          <w:p>
            <w:pPr>
              <w:tabs>
                <w:tab w:val="left" w:pos="2700"/>
              </w:tabs>
              <w:textAlignment w:val="center"/>
              <w:rPr>
                <w:rFonts w:ascii="宋体" w:hAnsi="宋体"/>
                <w:color w:val="auto"/>
                <w:sz w:val="21"/>
                <w:szCs w:val="21"/>
                <w:highlight w:val="none"/>
              </w:rPr>
            </w:pPr>
            <w:r>
              <w:rPr>
                <w:rFonts w:hint="eastAsia" w:ascii="宋体" w:hAnsi="宋体"/>
                <w:color w:val="auto"/>
                <w:sz w:val="21"/>
                <w:szCs w:val="21"/>
                <w:highlight w:val="none"/>
              </w:rPr>
              <w:t>≥20000小时</w:t>
            </w:r>
          </w:p>
          <w:p>
            <w:pPr>
              <w:rPr>
                <w:rFonts w:ascii="宋体" w:hAnsi="宋体"/>
                <w:color w:val="auto"/>
                <w:sz w:val="21"/>
                <w:szCs w:val="21"/>
                <w:highlight w:val="none"/>
              </w:rPr>
            </w:pPr>
          </w:p>
        </w:tc>
        <w:tc>
          <w:tcPr>
            <w:tcW w:w="1518" w:type="pct"/>
            <w:vAlign w:val="center"/>
          </w:tcPr>
          <w:p>
            <w:pP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7" w:type="pct"/>
            <w:vAlign w:val="center"/>
          </w:tcPr>
          <w:p>
            <w:pPr>
              <w:rPr>
                <w:rFonts w:ascii="宋体" w:hAnsi="宋体"/>
                <w:color w:val="auto"/>
                <w:sz w:val="21"/>
                <w:szCs w:val="21"/>
                <w:highlight w:val="none"/>
              </w:rPr>
            </w:pPr>
            <w:r>
              <w:rPr>
                <w:rFonts w:hint="eastAsia" w:ascii="宋体" w:hAnsi="宋体"/>
                <w:color w:val="auto"/>
                <w:sz w:val="21"/>
                <w:szCs w:val="21"/>
                <w:highlight w:val="none"/>
              </w:rPr>
              <w:t>（12）</w:t>
            </w:r>
          </w:p>
        </w:tc>
        <w:tc>
          <w:tcPr>
            <w:tcW w:w="1395" w:type="pct"/>
            <w:vAlign w:val="center"/>
          </w:tcPr>
          <w:p>
            <w:pPr>
              <w:rPr>
                <w:rFonts w:ascii="宋体" w:hAnsi="宋体"/>
                <w:color w:val="auto"/>
                <w:sz w:val="21"/>
                <w:szCs w:val="21"/>
                <w:highlight w:val="none"/>
              </w:rPr>
            </w:pPr>
            <w:r>
              <w:rPr>
                <w:rFonts w:hint="eastAsia" w:ascii="宋体" w:hAnsi="宋体"/>
                <w:color w:val="auto"/>
                <w:sz w:val="21"/>
                <w:szCs w:val="21"/>
                <w:highlight w:val="none"/>
              </w:rPr>
              <w:t>间隔级测控装置平均无故障间隔时间</w:t>
            </w:r>
          </w:p>
        </w:tc>
        <w:tc>
          <w:tcPr>
            <w:tcW w:w="1589" w:type="pct"/>
            <w:vAlign w:val="center"/>
          </w:tcPr>
          <w:p>
            <w:pPr>
              <w:rPr>
                <w:rFonts w:ascii="宋体" w:hAnsi="宋体"/>
                <w:color w:val="auto"/>
                <w:sz w:val="21"/>
                <w:szCs w:val="21"/>
                <w:highlight w:val="none"/>
              </w:rPr>
            </w:pPr>
            <w:r>
              <w:rPr>
                <w:rFonts w:hint="eastAsia" w:ascii="宋体" w:hAnsi="宋体"/>
                <w:color w:val="auto"/>
                <w:sz w:val="21"/>
                <w:szCs w:val="21"/>
                <w:highlight w:val="none"/>
              </w:rPr>
              <w:t>≥30000小时</w:t>
            </w:r>
          </w:p>
        </w:tc>
        <w:tc>
          <w:tcPr>
            <w:tcW w:w="1518" w:type="pct"/>
            <w:vAlign w:val="center"/>
          </w:tcPr>
          <w:p>
            <w:pP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7" w:type="pct"/>
            <w:vAlign w:val="center"/>
          </w:tcPr>
          <w:p>
            <w:pPr>
              <w:rPr>
                <w:rFonts w:ascii="宋体" w:hAnsi="宋体"/>
                <w:color w:val="auto"/>
                <w:sz w:val="21"/>
                <w:szCs w:val="21"/>
                <w:highlight w:val="none"/>
              </w:rPr>
            </w:pPr>
            <w:r>
              <w:rPr>
                <w:rFonts w:hint="eastAsia" w:ascii="宋体" w:hAnsi="宋体"/>
                <w:color w:val="auto"/>
                <w:sz w:val="21"/>
                <w:szCs w:val="21"/>
                <w:highlight w:val="none"/>
              </w:rPr>
              <w:t>（13）</w:t>
            </w:r>
          </w:p>
        </w:tc>
        <w:tc>
          <w:tcPr>
            <w:tcW w:w="1395" w:type="pct"/>
            <w:vAlign w:val="center"/>
          </w:tcPr>
          <w:p>
            <w:pPr>
              <w:rPr>
                <w:rFonts w:ascii="宋体" w:hAnsi="宋体"/>
                <w:color w:val="auto"/>
                <w:sz w:val="21"/>
                <w:szCs w:val="21"/>
                <w:highlight w:val="none"/>
              </w:rPr>
            </w:pPr>
            <w:r>
              <w:rPr>
                <w:rFonts w:hint="eastAsia" w:ascii="宋体" w:hAnsi="宋体"/>
                <w:color w:val="auto"/>
                <w:sz w:val="21"/>
                <w:szCs w:val="21"/>
                <w:highlight w:val="none"/>
              </w:rPr>
              <w:t>系统内主要设备运行寿命</w:t>
            </w:r>
          </w:p>
        </w:tc>
        <w:tc>
          <w:tcPr>
            <w:tcW w:w="1589" w:type="pct"/>
            <w:vAlign w:val="center"/>
          </w:tcPr>
          <w:p>
            <w:pPr>
              <w:rPr>
                <w:rFonts w:ascii="宋体" w:hAnsi="宋体"/>
                <w:color w:val="auto"/>
                <w:sz w:val="21"/>
                <w:szCs w:val="21"/>
                <w:highlight w:val="none"/>
              </w:rPr>
            </w:pPr>
            <w:r>
              <w:rPr>
                <w:rFonts w:hint="eastAsia" w:ascii="宋体" w:hAnsi="宋体"/>
                <w:color w:val="auto"/>
                <w:sz w:val="21"/>
                <w:szCs w:val="21"/>
                <w:highlight w:val="none"/>
              </w:rPr>
              <w:t>≥10年</w:t>
            </w:r>
          </w:p>
        </w:tc>
        <w:tc>
          <w:tcPr>
            <w:tcW w:w="1518" w:type="pct"/>
            <w:vAlign w:val="center"/>
          </w:tcPr>
          <w:p>
            <w:pP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7" w:type="pct"/>
            <w:vAlign w:val="center"/>
          </w:tcPr>
          <w:p>
            <w:pPr>
              <w:rPr>
                <w:rFonts w:ascii="宋体" w:hAnsi="宋体"/>
                <w:color w:val="auto"/>
                <w:sz w:val="21"/>
                <w:szCs w:val="21"/>
                <w:highlight w:val="none"/>
              </w:rPr>
            </w:pPr>
            <w:r>
              <w:rPr>
                <w:rFonts w:hint="eastAsia" w:ascii="宋体" w:hAnsi="宋体"/>
                <w:color w:val="auto"/>
                <w:sz w:val="21"/>
                <w:szCs w:val="21"/>
                <w:highlight w:val="none"/>
              </w:rPr>
              <w:t>（14）</w:t>
            </w:r>
          </w:p>
        </w:tc>
        <w:tc>
          <w:tcPr>
            <w:tcW w:w="1395" w:type="pct"/>
            <w:vAlign w:val="center"/>
          </w:tcPr>
          <w:p>
            <w:pPr>
              <w:rPr>
                <w:rFonts w:ascii="宋体" w:hAnsi="宋体"/>
                <w:color w:val="auto"/>
                <w:sz w:val="21"/>
                <w:szCs w:val="21"/>
                <w:highlight w:val="none"/>
              </w:rPr>
            </w:pPr>
            <w:r>
              <w:rPr>
                <w:rFonts w:hint="eastAsia" w:ascii="宋体" w:hAnsi="宋体"/>
                <w:color w:val="auto"/>
                <w:sz w:val="21"/>
                <w:szCs w:val="21"/>
                <w:highlight w:val="none"/>
              </w:rPr>
              <w:t>各工作站的CPU平均负荷率：</w:t>
            </w:r>
          </w:p>
        </w:tc>
        <w:tc>
          <w:tcPr>
            <w:tcW w:w="1589" w:type="pct"/>
            <w:vAlign w:val="center"/>
          </w:tcPr>
          <w:p>
            <w:pPr>
              <w:rPr>
                <w:rFonts w:ascii="宋体" w:hAnsi="宋体"/>
                <w:color w:val="auto"/>
                <w:sz w:val="21"/>
                <w:szCs w:val="21"/>
                <w:highlight w:val="none"/>
              </w:rPr>
            </w:pPr>
            <w:r>
              <w:rPr>
                <w:rFonts w:hint="eastAsia" w:ascii="宋体" w:hAnsi="宋体"/>
                <w:color w:val="auto"/>
                <w:sz w:val="21"/>
                <w:szCs w:val="21"/>
                <w:highlight w:val="none"/>
              </w:rPr>
              <w:t>正常时（任意30min内）≤30％</w:t>
            </w:r>
          </w:p>
          <w:p>
            <w:pPr>
              <w:rPr>
                <w:rFonts w:ascii="宋体" w:hAnsi="宋体"/>
                <w:color w:val="auto"/>
                <w:sz w:val="21"/>
                <w:szCs w:val="21"/>
                <w:highlight w:val="none"/>
              </w:rPr>
            </w:pPr>
            <w:r>
              <w:rPr>
                <w:rFonts w:hint="eastAsia" w:ascii="宋体" w:hAnsi="宋体"/>
                <w:color w:val="auto"/>
                <w:sz w:val="21"/>
                <w:szCs w:val="21"/>
                <w:highlight w:val="none"/>
              </w:rPr>
              <w:t>电力系统故障（10s内）≤70％</w:t>
            </w:r>
          </w:p>
        </w:tc>
        <w:tc>
          <w:tcPr>
            <w:tcW w:w="1518" w:type="pct"/>
            <w:vAlign w:val="center"/>
          </w:tcPr>
          <w:p>
            <w:pP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7" w:type="pct"/>
            <w:vAlign w:val="center"/>
          </w:tcPr>
          <w:p>
            <w:pPr>
              <w:rPr>
                <w:rFonts w:ascii="宋体" w:hAnsi="宋体"/>
                <w:color w:val="auto"/>
                <w:sz w:val="21"/>
                <w:szCs w:val="21"/>
                <w:highlight w:val="none"/>
              </w:rPr>
            </w:pPr>
            <w:r>
              <w:rPr>
                <w:rFonts w:hint="eastAsia" w:ascii="宋体" w:hAnsi="宋体"/>
                <w:color w:val="auto"/>
                <w:sz w:val="21"/>
                <w:szCs w:val="21"/>
                <w:highlight w:val="none"/>
              </w:rPr>
              <w:t>（15）</w:t>
            </w:r>
          </w:p>
        </w:tc>
        <w:tc>
          <w:tcPr>
            <w:tcW w:w="1395" w:type="pct"/>
            <w:vAlign w:val="center"/>
          </w:tcPr>
          <w:p>
            <w:pPr>
              <w:rPr>
                <w:rFonts w:ascii="宋体" w:hAnsi="宋体"/>
                <w:color w:val="auto"/>
                <w:sz w:val="21"/>
                <w:szCs w:val="21"/>
                <w:highlight w:val="none"/>
              </w:rPr>
            </w:pPr>
            <w:r>
              <w:rPr>
                <w:rFonts w:hint="eastAsia" w:ascii="宋体" w:hAnsi="宋体"/>
                <w:color w:val="auto"/>
                <w:sz w:val="21"/>
                <w:szCs w:val="21"/>
                <w:highlight w:val="none"/>
              </w:rPr>
              <w:t>网络负荷率</w:t>
            </w:r>
          </w:p>
        </w:tc>
        <w:tc>
          <w:tcPr>
            <w:tcW w:w="1589" w:type="pct"/>
            <w:vAlign w:val="center"/>
          </w:tcPr>
          <w:p>
            <w:pPr>
              <w:rPr>
                <w:rFonts w:ascii="宋体" w:hAnsi="宋体"/>
                <w:color w:val="auto"/>
                <w:sz w:val="21"/>
                <w:szCs w:val="21"/>
                <w:highlight w:val="none"/>
              </w:rPr>
            </w:pPr>
            <w:r>
              <w:rPr>
                <w:rFonts w:hint="eastAsia" w:ascii="宋体" w:hAnsi="宋体"/>
                <w:color w:val="auto"/>
                <w:sz w:val="21"/>
                <w:szCs w:val="21"/>
                <w:highlight w:val="none"/>
              </w:rPr>
              <w:t>正常时（任意30min内）≤20％</w:t>
            </w:r>
          </w:p>
          <w:p>
            <w:pPr>
              <w:rPr>
                <w:rFonts w:ascii="宋体" w:hAnsi="宋体"/>
                <w:color w:val="auto"/>
                <w:sz w:val="21"/>
                <w:szCs w:val="21"/>
                <w:highlight w:val="none"/>
              </w:rPr>
            </w:pPr>
            <w:r>
              <w:rPr>
                <w:rFonts w:hint="eastAsia" w:ascii="宋体" w:hAnsi="宋体"/>
                <w:color w:val="auto"/>
                <w:sz w:val="21"/>
                <w:szCs w:val="21"/>
                <w:highlight w:val="none"/>
              </w:rPr>
              <w:t>电力系统故障（10s内）≤30％</w:t>
            </w:r>
          </w:p>
        </w:tc>
        <w:tc>
          <w:tcPr>
            <w:tcW w:w="1518" w:type="pct"/>
            <w:vAlign w:val="center"/>
          </w:tcPr>
          <w:p>
            <w:pPr>
              <w:tabs>
                <w:tab w:val="left" w:pos="2700"/>
              </w:tabs>
              <w:ind w:firstLine="420" w:firstLineChars="200"/>
              <w:textAlignment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7" w:type="pct"/>
            <w:vAlign w:val="center"/>
          </w:tcPr>
          <w:p>
            <w:pPr>
              <w:rPr>
                <w:rFonts w:ascii="宋体" w:hAnsi="宋体"/>
                <w:color w:val="auto"/>
                <w:sz w:val="21"/>
                <w:szCs w:val="21"/>
                <w:highlight w:val="none"/>
              </w:rPr>
            </w:pPr>
            <w:r>
              <w:rPr>
                <w:rFonts w:hint="eastAsia" w:ascii="宋体" w:hAnsi="宋体"/>
                <w:color w:val="auto"/>
                <w:sz w:val="21"/>
                <w:szCs w:val="21"/>
                <w:highlight w:val="none"/>
              </w:rPr>
              <w:t>（16）</w:t>
            </w:r>
          </w:p>
        </w:tc>
        <w:tc>
          <w:tcPr>
            <w:tcW w:w="1395" w:type="pct"/>
            <w:vAlign w:val="center"/>
          </w:tcPr>
          <w:p>
            <w:pPr>
              <w:rPr>
                <w:rFonts w:ascii="宋体" w:hAnsi="宋体"/>
                <w:color w:val="auto"/>
                <w:sz w:val="21"/>
                <w:szCs w:val="21"/>
                <w:highlight w:val="none"/>
              </w:rPr>
            </w:pPr>
            <w:r>
              <w:rPr>
                <w:rFonts w:hint="eastAsia" w:ascii="宋体" w:hAnsi="宋体"/>
                <w:color w:val="auto"/>
                <w:sz w:val="21"/>
                <w:szCs w:val="21"/>
                <w:highlight w:val="none"/>
              </w:rPr>
              <w:t>模数转换</w:t>
            </w:r>
          </w:p>
        </w:tc>
        <w:tc>
          <w:tcPr>
            <w:tcW w:w="1589" w:type="pct"/>
            <w:vAlign w:val="center"/>
          </w:tcPr>
          <w:p>
            <w:pPr>
              <w:tabs>
                <w:tab w:val="left" w:pos="2700"/>
              </w:tabs>
              <w:textAlignment w:val="center"/>
              <w:rPr>
                <w:rFonts w:hAnsi="宋体"/>
                <w:color w:val="auto"/>
                <w:sz w:val="21"/>
                <w:szCs w:val="21"/>
                <w:highlight w:val="none"/>
              </w:rPr>
            </w:pPr>
            <w:r>
              <w:rPr>
                <w:rFonts w:hint="eastAsia" w:ascii="宋体" w:hAnsi="宋体"/>
                <w:color w:val="auto"/>
                <w:sz w:val="21"/>
                <w:szCs w:val="21"/>
                <w:highlight w:val="none"/>
              </w:rPr>
              <w:t>分辨率≥1</w:t>
            </w:r>
            <w:r>
              <w:rPr>
                <w:rFonts w:ascii="宋体" w:hAnsi="宋体"/>
                <w:color w:val="auto"/>
                <w:sz w:val="21"/>
                <w:szCs w:val="21"/>
                <w:highlight w:val="none"/>
              </w:rPr>
              <w:t>6</w:t>
            </w:r>
            <w:r>
              <w:rPr>
                <w:rFonts w:hint="eastAsia" w:ascii="宋体" w:hAnsi="宋体"/>
                <w:color w:val="auto"/>
                <w:sz w:val="21"/>
                <w:szCs w:val="21"/>
                <w:highlight w:val="none"/>
              </w:rPr>
              <w:t>位，</w:t>
            </w:r>
            <w:r>
              <w:rPr>
                <w:rFonts w:hint="eastAsia" w:hAnsi="宋体"/>
                <w:color w:val="auto"/>
                <w:sz w:val="21"/>
                <w:szCs w:val="21"/>
                <w:highlight w:val="none"/>
              </w:rPr>
              <w:t>转换误差≤0.2％</w:t>
            </w:r>
          </w:p>
        </w:tc>
        <w:tc>
          <w:tcPr>
            <w:tcW w:w="1518" w:type="pct"/>
            <w:vAlign w:val="center"/>
          </w:tcPr>
          <w:p>
            <w:pP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7" w:type="pct"/>
            <w:vAlign w:val="center"/>
          </w:tcPr>
          <w:p>
            <w:pPr>
              <w:rPr>
                <w:rFonts w:ascii="宋体" w:hAnsi="宋体"/>
                <w:color w:val="auto"/>
                <w:sz w:val="21"/>
                <w:szCs w:val="21"/>
                <w:highlight w:val="none"/>
              </w:rPr>
            </w:pPr>
            <w:r>
              <w:rPr>
                <w:rFonts w:hint="eastAsia" w:ascii="宋体" w:hAnsi="宋体"/>
                <w:color w:val="auto"/>
                <w:sz w:val="21"/>
                <w:szCs w:val="21"/>
                <w:highlight w:val="none"/>
              </w:rPr>
              <w:t>（17）</w:t>
            </w:r>
          </w:p>
        </w:tc>
        <w:tc>
          <w:tcPr>
            <w:tcW w:w="1395" w:type="pct"/>
            <w:vAlign w:val="center"/>
          </w:tcPr>
          <w:p>
            <w:pPr>
              <w:rPr>
                <w:rFonts w:ascii="宋体" w:hAnsi="宋体"/>
                <w:color w:val="auto"/>
                <w:sz w:val="21"/>
                <w:szCs w:val="21"/>
                <w:highlight w:val="none"/>
              </w:rPr>
            </w:pPr>
            <w:r>
              <w:rPr>
                <w:rFonts w:hint="eastAsia" w:ascii="宋体" w:hAnsi="宋体"/>
                <w:color w:val="auto"/>
                <w:sz w:val="21"/>
                <w:szCs w:val="21"/>
                <w:highlight w:val="none"/>
              </w:rPr>
              <w:t>站控层设备对时精度</w:t>
            </w:r>
          </w:p>
        </w:tc>
        <w:tc>
          <w:tcPr>
            <w:tcW w:w="1589" w:type="pct"/>
            <w:vAlign w:val="center"/>
          </w:tcPr>
          <w:p>
            <w:pPr>
              <w:rPr>
                <w:rFonts w:ascii="宋体" w:hAnsi="宋体"/>
                <w:color w:val="auto"/>
                <w:sz w:val="21"/>
                <w:szCs w:val="21"/>
                <w:highlight w:val="none"/>
              </w:rPr>
            </w:pPr>
            <w:r>
              <w:rPr>
                <w:rFonts w:hint="eastAsia" w:ascii="宋体" w:hAnsi="宋体"/>
                <w:color w:val="auto"/>
                <w:sz w:val="21"/>
                <w:szCs w:val="21"/>
                <w:highlight w:val="none"/>
              </w:rPr>
              <w:t>≤1s</w:t>
            </w:r>
          </w:p>
        </w:tc>
        <w:tc>
          <w:tcPr>
            <w:tcW w:w="1518" w:type="pct"/>
            <w:vAlign w:val="center"/>
          </w:tcPr>
          <w:p>
            <w:pP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7" w:type="pct"/>
            <w:vAlign w:val="center"/>
          </w:tcPr>
          <w:p>
            <w:pPr>
              <w:rPr>
                <w:rFonts w:ascii="宋体" w:hAnsi="宋体"/>
                <w:color w:val="auto"/>
                <w:sz w:val="21"/>
                <w:szCs w:val="21"/>
                <w:highlight w:val="none"/>
              </w:rPr>
            </w:pPr>
            <w:r>
              <w:rPr>
                <w:rFonts w:hint="eastAsia" w:ascii="宋体" w:hAnsi="宋体"/>
                <w:color w:val="auto"/>
                <w:sz w:val="21"/>
                <w:szCs w:val="21"/>
                <w:highlight w:val="none"/>
              </w:rPr>
              <w:t>（18）</w:t>
            </w:r>
          </w:p>
        </w:tc>
        <w:tc>
          <w:tcPr>
            <w:tcW w:w="1395" w:type="pct"/>
            <w:vAlign w:val="center"/>
          </w:tcPr>
          <w:p>
            <w:pPr>
              <w:rPr>
                <w:rFonts w:ascii="宋体" w:hAnsi="宋体"/>
                <w:color w:val="auto"/>
                <w:sz w:val="21"/>
                <w:szCs w:val="21"/>
                <w:highlight w:val="none"/>
              </w:rPr>
            </w:pPr>
            <w:r>
              <w:rPr>
                <w:rFonts w:hint="eastAsia" w:ascii="宋体" w:hAnsi="宋体"/>
                <w:color w:val="auto"/>
                <w:sz w:val="21"/>
                <w:szCs w:val="21"/>
                <w:highlight w:val="none"/>
              </w:rPr>
              <w:t>画面整幅调用响应时间</w:t>
            </w:r>
          </w:p>
        </w:tc>
        <w:tc>
          <w:tcPr>
            <w:tcW w:w="1589" w:type="pct"/>
            <w:vAlign w:val="center"/>
          </w:tcPr>
          <w:p>
            <w:pPr>
              <w:tabs>
                <w:tab w:val="left" w:pos="2700"/>
              </w:tabs>
              <w:textAlignment w:val="center"/>
              <w:rPr>
                <w:rFonts w:ascii="宋体" w:hAnsi="宋体"/>
                <w:color w:val="auto"/>
                <w:sz w:val="21"/>
                <w:szCs w:val="21"/>
                <w:highlight w:val="none"/>
              </w:rPr>
            </w:pPr>
            <w:r>
              <w:rPr>
                <w:rFonts w:hint="eastAsia" w:ascii="宋体" w:hAnsi="宋体"/>
                <w:color w:val="auto"/>
                <w:sz w:val="21"/>
                <w:szCs w:val="21"/>
                <w:highlight w:val="none"/>
              </w:rPr>
              <w:t>实时画面≤1</w:t>
            </w:r>
            <w:r>
              <w:rPr>
                <w:rFonts w:ascii="宋体" w:hAnsi="宋体"/>
                <w:color w:val="auto"/>
                <w:sz w:val="21"/>
                <w:szCs w:val="21"/>
                <w:highlight w:val="none"/>
              </w:rPr>
              <w:t>s</w:t>
            </w:r>
            <w:r>
              <w:rPr>
                <w:rFonts w:hint="eastAsia" w:ascii="宋体" w:hAnsi="宋体"/>
                <w:color w:val="auto"/>
                <w:sz w:val="21"/>
                <w:szCs w:val="21"/>
                <w:highlight w:val="none"/>
              </w:rPr>
              <w:t>，其他画面≤2</w:t>
            </w:r>
            <w:r>
              <w:rPr>
                <w:rFonts w:ascii="宋体" w:hAnsi="宋体"/>
                <w:color w:val="auto"/>
                <w:sz w:val="21"/>
                <w:szCs w:val="21"/>
                <w:highlight w:val="none"/>
              </w:rPr>
              <w:t>s</w:t>
            </w:r>
            <w:r>
              <w:rPr>
                <w:rFonts w:hint="eastAsia" w:ascii="宋体" w:hAnsi="宋体"/>
                <w:color w:val="auto"/>
                <w:sz w:val="21"/>
                <w:szCs w:val="21"/>
                <w:highlight w:val="none"/>
              </w:rPr>
              <w:t>；</w:t>
            </w:r>
          </w:p>
        </w:tc>
        <w:tc>
          <w:tcPr>
            <w:tcW w:w="1518" w:type="pct"/>
            <w:vAlign w:val="center"/>
          </w:tcPr>
          <w:p>
            <w:pP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7" w:type="pct"/>
            <w:vAlign w:val="center"/>
          </w:tcPr>
          <w:p>
            <w:pPr>
              <w:rPr>
                <w:rFonts w:ascii="宋体" w:hAnsi="宋体"/>
                <w:color w:val="auto"/>
                <w:sz w:val="21"/>
                <w:szCs w:val="21"/>
                <w:highlight w:val="none"/>
              </w:rPr>
            </w:pPr>
            <w:r>
              <w:rPr>
                <w:rFonts w:hint="eastAsia" w:ascii="宋体" w:hAnsi="宋体"/>
                <w:color w:val="auto"/>
                <w:sz w:val="21"/>
                <w:szCs w:val="21"/>
                <w:highlight w:val="none"/>
              </w:rPr>
              <w:t>（19）</w:t>
            </w:r>
          </w:p>
        </w:tc>
        <w:tc>
          <w:tcPr>
            <w:tcW w:w="1395" w:type="pct"/>
            <w:vAlign w:val="center"/>
          </w:tcPr>
          <w:p>
            <w:pPr>
              <w:rPr>
                <w:rFonts w:ascii="宋体" w:hAnsi="宋体"/>
                <w:color w:val="auto"/>
                <w:sz w:val="21"/>
                <w:szCs w:val="21"/>
                <w:highlight w:val="none"/>
              </w:rPr>
            </w:pPr>
            <w:r>
              <w:rPr>
                <w:rFonts w:hint="eastAsia" w:ascii="宋体" w:hAnsi="宋体"/>
                <w:color w:val="auto"/>
                <w:sz w:val="21"/>
                <w:szCs w:val="21"/>
                <w:highlight w:val="none"/>
              </w:rPr>
              <w:t>实时数据库</w:t>
            </w:r>
            <w:r>
              <w:rPr>
                <w:rFonts w:ascii="宋体" w:hAnsi="宋体"/>
                <w:color w:val="auto"/>
                <w:sz w:val="21"/>
                <w:szCs w:val="21"/>
                <w:highlight w:val="none"/>
              </w:rPr>
              <w:t>容量</w:t>
            </w:r>
          </w:p>
        </w:tc>
        <w:tc>
          <w:tcPr>
            <w:tcW w:w="1589" w:type="pct"/>
            <w:vAlign w:val="center"/>
          </w:tcPr>
          <w:p>
            <w:pPr>
              <w:rPr>
                <w:rFonts w:ascii="宋体" w:hAnsi="宋体"/>
                <w:color w:val="auto"/>
                <w:sz w:val="21"/>
                <w:szCs w:val="21"/>
                <w:highlight w:val="none"/>
              </w:rPr>
            </w:pPr>
            <w:r>
              <w:rPr>
                <w:rFonts w:hint="eastAsia" w:ascii="宋体" w:hAnsi="宋体"/>
                <w:color w:val="auto"/>
                <w:sz w:val="21"/>
                <w:szCs w:val="21"/>
                <w:highlight w:val="none"/>
              </w:rPr>
              <w:t>模拟量≥120000点</w:t>
            </w:r>
            <w:r>
              <w:rPr>
                <w:rFonts w:ascii="宋体" w:hAnsi="宋体"/>
                <w:color w:val="auto"/>
                <w:sz w:val="21"/>
                <w:szCs w:val="21"/>
                <w:highlight w:val="none"/>
              </w:rPr>
              <w:t>；</w:t>
            </w:r>
          </w:p>
          <w:p>
            <w:pPr>
              <w:rPr>
                <w:rFonts w:ascii="宋体" w:hAnsi="宋体"/>
                <w:color w:val="auto"/>
                <w:sz w:val="21"/>
                <w:szCs w:val="21"/>
                <w:highlight w:val="none"/>
              </w:rPr>
            </w:pPr>
            <w:r>
              <w:rPr>
                <w:rFonts w:hint="eastAsia" w:ascii="宋体" w:hAnsi="宋体"/>
                <w:color w:val="auto"/>
                <w:sz w:val="21"/>
                <w:szCs w:val="21"/>
                <w:highlight w:val="none"/>
              </w:rPr>
              <w:t>状态量≥120000点</w:t>
            </w:r>
            <w:r>
              <w:rPr>
                <w:rFonts w:ascii="宋体" w:hAnsi="宋体"/>
                <w:color w:val="auto"/>
                <w:sz w:val="21"/>
                <w:szCs w:val="21"/>
                <w:highlight w:val="none"/>
              </w:rPr>
              <w:t>；</w:t>
            </w:r>
          </w:p>
          <w:p>
            <w:pPr>
              <w:rPr>
                <w:rFonts w:ascii="宋体" w:hAnsi="宋体"/>
                <w:color w:val="auto"/>
                <w:sz w:val="21"/>
                <w:szCs w:val="21"/>
                <w:highlight w:val="none"/>
              </w:rPr>
            </w:pPr>
            <w:r>
              <w:rPr>
                <w:rFonts w:hint="eastAsia" w:ascii="宋体" w:hAnsi="宋体"/>
                <w:color w:val="auto"/>
                <w:sz w:val="21"/>
                <w:szCs w:val="21"/>
                <w:highlight w:val="none"/>
              </w:rPr>
              <w:t>遥控量≥8000点</w:t>
            </w:r>
            <w:r>
              <w:rPr>
                <w:rFonts w:ascii="宋体" w:hAnsi="宋体"/>
                <w:color w:val="auto"/>
                <w:sz w:val="21"/>
                <w:szCs w:val="21"/>
                <w:highlight w:val="none"/>
              </w:rPr>
              <w:t>；</w:t>
            </w:r>
          </w:p>
          <w:p>
            <w:pPr>
              <w:rPr>
                <w:rFonts w:ascii="宋体" w:hAnsi="宋体"/>
                <w:color w:val="auto"/>
                <w:sz w:val="21"/>
                <w:szCs w:val="21"/>
                <w:highlight w:val="none"/>
              </w:rPr>
            </w:pPr>
            <w:r>
              <w:rPr>
                <w:rFonts w:hint="eastAsia" w:ascii="宋体" w:hAnsi="宋体"/>
                <w:color w:val="auto"/>
                <w:sz w:val="21"/>
                <w:szCs w:val="21"/>
                <w:highlight w:val="none"/>
              </w:rPr>
              <w:t>计算量≥6</w:t>
            </w:r>
            <w:r>
              <w:rPr>
                <w:rFonts w:ascii="宋体" w:hAnsi="宋体"/>
                <w:color w:val="auto"/>
                <w:sz w:val="21"/>
                <w:szCs w:val="21"/>
                <w:highlight w:val="none"/>
              </w:rPr>
              <w:t>0000</w:t>
            </w:r>
            <w:r>
              <w:rPr>
                <w:rFonts w:hint="eastAsia" w:ascii="宋体" w:hAnsi="宋体"/>
                <w:color w:val="auto"/>
                <w:sz w:val="21"/>
                <w:szCs w:val="21"/>
                <w:highlight w:val="none"/>
              </w:rPr>
              <w:t>点</w:t>
            </w:r>
            <w:r>
              <w:rPr>
                <w:rFonts w:ascii="宋体" w:hAnsi="宋体"/>
                <w:color w:val="auto"/>
                <w:sz w:val="21"/>
                <w:szCs w:val="21"/>
                <w:highlight w:val="none"/>
              </w:rPr>
              <w:t>；</w:t>
            </w:r>
          </w:p>
          <w:p>
            <w:pPr>
              <w:rPr>
                <w:rFonts w:ascii="宋体" w:hAnsi="宋体"/>
                <w:color w:val="auto"/>
                <w:sz w:val="21"/>
                <w:szCs w:val="21"/>
                <w:highlight w:val="none"/>
              </w:rPr>
            </w:pPr>
            <w:r>
              <w:rPr>
                <w:rFonts w:hint="eastAsia" w:ascii="宋体" w:hAnsi="宋体"/>
                <w:color w:val="auto"/>
                <w:sz w:val="21"/>
                <w:szCs w:val="21"/>
                <w:highlight w:val="none"/>
              </w:rPr>
              <w:t>并满足至少</w:t>
            </w:r>
            <w:r>
              <w:rPr>
                <w:rFonts w:hint="eastAsia" w:ascii="宋体" w:hAnsi="宋体"/>
                <w:bCs/>
                <w:color w:val="auto"/>
                <w:sz w:val="21"/>
                <w:szCs w:val="21"/>
                <w:highlight w:val="none"/>
              </w:rPr>
              <w:t>500MWp容量的光伏区设备监控。</w:t>
            </w:r>
          </w:p>
        </w:tc>
        <w:tc>
          <w:tcPr>
            <w:tcW w:w="1518" w:type="pct"/>
            <w:vAlign w:val="center"/>
          </w:tcPr>
          <w:p>
            <w:pPr>
              <w:rPr>
                <w:rFonts w:ascii="宋体" w:hAnsi="宋体"/>
                <w:color w:val="auto"/>
                <w:sz w:val="21"/>
                <w:szCs w:val="21"/>
                <w:highlight w:val="none"/>
              </w:rPr>
            </w:pPr>
          </w:p>
        </w:tc>
      </w:tr>
    </w:tbl>
    <w:p>
      <w:pPr>
        <w:pStyle w:val="4"/>
        <w:ind w:firstLine="640" w:firstLineChars="200"/>
        <w:jc w:val="center"/>
        <w:rPr>
          <w:rFonts w:cs="宋体"/>
          <w:color w:val="auto"/>
          <w:kern w:val="2"/>
          <w:sz w:val="21"/>
          <w:szCs w:val="21"/>
          <w:highlight w:val="none"/>
        </w:rPr>
      </w:pPr>
      <w:r>
        <w:rPr>
          <w:rStyle w:val="60"/>
          <w:rFonts w:hint="eastAsia" w:cs="宋体"/>
          <w:b w:val="0"/>
          <w:color w:val="auto"/>
          <w:szCs w:val="24"/>
          <w:highlight w:val="none"/>
        </w:rPr>
        <w:br w:type="page"/>
      </w:r>
      <w:bookmarkEnd w:id="350"/>
      <w:bookmarkEnd w:id="351"/>
      <w:bookmarkEnd w:id="352"/>
      <w:bookmarkEnd w:id="353"/>
      <w:bookmarkEnd w:id="354"/>
      <w:bookmarkEnd w:id="355"/>
      <w:bookmarkEnd w:id="356"/>
      <w:bookmarkEnd w:id="357"/>
      <w:bookmarkEnd w:id="358"/>
      <w:bookmarkEnd w:id="359"/>
      <w:bookmarkEnd w:id="360"/>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Start w:id="520" w:name="_Toc23523"/>
      <w:bookmarkStart w:id="521" w:name="_Toc3809"/>
      <w:bookmarkStart w:id="522" w:name="_Toc31383"/>
      <w:bookmarkStart w:id="523" w:name="_Toc32075"/>
      <w:bookmarkStart w:id="524" w:name="_Toc91247586"/>
      <w:bookmarkStart w:id="525" w:name="_Toc16607"/>
      <w:bookmarkStart w:id="526" w:name="_Toc1891"/>
      <w:bookmarkStart w:id="527" w:name="_Toc27226"/>
      <w:bookmarkStart w:id="528" w:name="_Toc9545"/>
      <w:bookmarkStart w:id="529" w:name="_Toc502332508"/>
      <w:bookmarkStart w:id="530" w:name="_Toc502331813"/>
      <w:bookmarkStart w:id="531" w:name="_Toc501726282"/>
      <w:bookmarkStart w:id="532" w:name="_Toc501726287"/>
      <w:bookmarkStart w:id="533" w:name="_Toc502332513"/>
      <w:bookmarkStart w:id="534" w:name="_Toc501336196"/>
      <w:bookmarkStart w:id="535" w:name="_Toc502331818"/>
      <w:bookmarkStart w:id="536" w:name="_Toc399318773"/>
      <w:r>
        <w:rPr>
          <w:rFonts w:hint="eastAsia" w:cs="宋体"/>
          <w:color w:val="auto"/>
          <w:kern w:val="2"/>
          <w:sz w:val="21"/>
          <w:szCs w:val="21"/>
          <w:highlight w:val="none"/>
        </w:rPr>
        <w:t>第五章 技术差异表</w:t>
      </w:r>
      <w:bookmarkEnd w:id="520"/>
      <w:bookmarkEnd w:id="521"/>
      <w:bookmarkEnd w:id="522"/>
      <w:bookmarkEnd w:id="523"/>
      <w:bookmarkEnd w:id="524"/>
      <w:bookmarkEnd w:id="525"/>
      <w:bookmarkEnd w:id="526"/>
      <w:bookmarkEnd w:id="527"/>
      <w:bookmarkEnd w:id="528"/>
    </w:p>
    <w:p>
      <w:pPr>
        <w:tabs>
          <w:tab w:val="left" w:pos="630"/>
        </w:tabs>
        <w:rPr>
          <w:rFonts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投标方要将投标文件和招标文件的差异之处汇集成表。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1040"/>
        <w:gridCol w:w="1299"/>
        <w:gridCol w:w="2318"/>
        <w:gridCol w:w="1290"/>
        <w:gridCol w:w="2422"/>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trHeight w:val="500" w:hRule="atLeast"/>
        </w:trPr>
        <w:tc>
          <w:tcPr>
            <w:tcW w:w="1040" w:type="dxa"/>
            <w:vMerge w:val="restart"/>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序号</w:t>
            </w:r>
          </w:p>
        </w:tc>
        <w:tc>
          <w:tcPr>
            <w:tcW w:w="3617" w:type="dxa"/>
            <w:gridSpan w:val="2"/>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招标文件</w:t>
            </w:r>
          </w:p>
        </w:tc>
        <w:tc>
          <w:tcPr>
            <w:tcW w:w="3712" w:type="dxa"/>
            <w:gridSpan w:val="2"/>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投标文件</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trHeight w:val="500" w:hRule="atLeast"/>
        </w:trPr>
        <w:tc>
          <w:tcPr>
            <w:tcW w:w="1040" w:type="dxa"/>
            <w:vMerge w:val="continue"/>
            <w:vAlign w:val="center"/>
          </w:tcPr>
          <w:p>
            <w:pPr>
              <w:snapToGrid w:val="0"/>
              <w:jc w:val="center"/>
              <w:rPr>
                <w:rFonts w:ascii="宋体" w:hAnsi="宋体" w:cs="宋体"/>
                <w:snapToGrid w:val="0"/>
                <w:color w:val="auto"/>
                <w:sz w:val="18"/>
                <w:szCs w:val="18"/>
                <w:highlight w:val="none"/>
              </w:rPr>
            </w:pPr>
          </w:p>
        </w:tc>
        <w:tc>
          <w:tcPr>
            <w:tcW w:w="1299"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条目</w:t>
            </w:r>
          </w:p>
        </w:tc>
        <w:tc>
          <w:tcPr>
            <w:tcW w:w="2318"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简要内容</w:t>
            </w:r>
          </w:p>
        </w:tc>
        <w:tc>
          <w:tcPr>
            <w:tcW w:w="1290"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条目</w:t>
            </w:r>
          </w:p>
        </w:tc>
        <w:tc>
          <w:tcPr>
            <w:tcW w:w="2422"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简要内容</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trHeight w:val="500" w:hRule="atLeast"/>
        </w:trPr>
        <w:tc>
          <w:tcPr>
            <w:tcW w:w="1040" w:type="dxa"/>
            <w:vAlign w:val="center"/>
          </w:tcPr>
          <w:p>
            <w:pPr>
              <w:snapToGrid w:val="0"/>
              <w:jc w:val="center"/>
              <w:rPr>
                <w:rFonts w:ascii="宋体" w:hAnsi="宋体" w:cs="宋体"/>
                <w:snapToGrid w:val="0"/>
                <w:color w:val="auto"/>
                <w:sz w:val="18"/>
                <w:szCs w:val="18"/>
                <w:highlight w:val="none"/>
              </w:rPr>
            </w:pPr>
          </w:p>
        </w:tc>
        <w:tc>
          <w:tcPr>
            <w:tcW w:w="1299" w:type="dxa"/>
            <w:vAlign w:val="center"/>
          </w:tcPr>
          <w:p>
            <w:pPr>
              <w:snapToGrid w:val="0"/>
              <w:jc w:val="center"/>
              <w:rPr>
                <w:rFonts w:ascii="宋体" w:hAnsi="宋体" w:cs="宋体"/>
                <w:snapToGrid w:val="0"/>
                <w:color w:val="auto"/>
                <w:sz w:val="18"/>
                <w:szCs w:val="18"/>
                <w:highlight w:val="none"/>
              </w:rPr>
            </w:pPr>
          </w:p>
        </w:tc>
        <w:tc>
          <w:tcPr>
            <w:tcW w:w="2318" w:type="dxa"/>
            <w:vAlign w:val="center"/>
          </w:tcPr>
          <w:p>
            <w:pPr>
              <w:snapToGrid w:val="0"/>
              <w:jc w:val="center"/>
              <w:rPr>
                <w:rFonts w:ascii="宋体" w:hAnsi="宋体" w:cs="宋体"/>
                <w:snapToGrid w:val="0"/>
                <w:color w:val="auto"/>
                <w:sz w:val="18"/>
                <w:szCs w:val="18"/>
                <w:highlight w:val="none"/>
              </w:rPr>
            </w:pPr>
          </w:p>
        </w:tc>
        <w:tc>
          <w:tcPr>
            <w:tcW w:w="1290" w:type="dxa"/>
            <w:vAlign w:val="center"/>
          </w:tcPr>
          <w:p>
            <w:pPr>
              <w:snapToGrid w:val="0"/>
              <w:jc w:val="center"/>
              <w:rPr>
                <w:rFonts w:ascii="宋体" w:hAnsi="宋体" w:cs="宋体"/>
                <w:snapToGrid w:val="0"/>
                <w:color w:val="auto"/>
                <w:sz w:val="18"/>
                <w:szCs w:val="18"/>
                <w:highlight w:val="none"/>
              </w:rPr>
            </w:pPr>
          </w:p>
        </w:tc>
        <w:tc>
          <w:tcPr>
            <w:tcW w:w="2422" w:type="dxa"/>
            <w:vAlign w:val="center"/>
          </w:tcPr>
          <w:p>
            <w:pPr>
              <w:snapToGrid w:val="0"/>
              <w:jc w:val="center"/>
              <w:rPr>
                <w:rFonts w:ascii="宋体" w:hAnsi="宋体" w:cs="宋体"/>
                <w:snapToGrid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trHeight w:val="500" w:hRule="atLeast"/>
        </w:trPr>
        <w:tc>
          <w:tcPr>
            <w:tcW w:w="1040" w:type="dxa"/>
            <w:vAlign w:val="center"/>
          </w:tcPr>
          <w:p>
            <w:pPr>
              <w:snapToGrid w:val="0"/>
              <w:jc w:val="center"/>
              <w:rPr>
                <w:rFonts w:ascii="宋体" w:hAnsi="宋体" w:cs="宋体"/>
                <w:snapToGrid w:val="0"/>
                <w:color w:val="auto"/>
                <w:sz w:val="18"/>
                <w:szCs w:val="18"/>
                <w:highlight w:val="none"/>
              </w:rPr>
            </w:pPr>
          </w:p>
        </w:tc>
        <w:tc>
          <w:tcPr>
            <w:tcW w:w="1299" w:type="dxa"/>
            <w:vAlign w:val="center"/>
          </w:tcPr>
          <w:p>
            <w:pPr>
              <w:snapToGrid w:val="0"/>
              <w:jc w:val="center"/>
              <w:rPr>
                <w:rFonts w:ascii="宋体" w:hAnsi="宋体" w:cs="宋体"/>
                <w:snapToGrid w:val="0"/>
                <w:color w:val="auto"/>
                <w:sz w:val="18"/>
                <w:szCs w:val="18"/>
                <w:highlight w:val="none"/>
              </w:rPr>
            </w:pPr>
          </w:p>
        </w:tc>
        <w:tc>
          <w:tcPr>
            <w:tcW w:w="2318" w:type="dxa"/>
            <w:vAlign w:val="center"/>
          </w:tcPr>
          <w:p>
            <w:pPr>
              <w:snapToGrid w:val="0"/>
              <w:jc w:val="center"/>
              <w:rPr>
                <w:rFonts w:ascii="宋体" w:hAnsi="宋体" w:cs="宋体"/>
                <w:snapToGrid w:val="0"/>
                <w:color w:val="auto"/>
                <w:sz w:val="18"/>
                <w:szCs w:val="18"/>
                <w:highlight w:val="none"/>
              </w:rPr>
            </w:pPr>
          </w:p>
        </w:tc>
        <w:tc>
          <w:tcPr>
            <w:tcW w:w="1290" w:type="dxa"/>
            <w:vAlign w:val="center"/>
          </w:tcPr>
          <w:p>
            <w:pPr>
              <w:snapToGrid w:val="0"/>
              <w:jc w:val="center"/>
              <w:rPr>
                <w:rFonts w:ascii="宋体" w:hAnsi="宋体" w:cs="宋体"/>
                <w:snapToGrid w:val="0"/>
                <w:color w:val="auto"/>
                <w:sz w:val="18"/>
                <w:szCs w:val="18"/>
                <w:highlight w:val="none"/>
              </w:rPr>
            </w:pPr>
          </w:p>
        </w:tc>
        <w:tc>
          <w:tcPr>
            <w:tcW w:w="2422" w:type="dxa"/>
            <w:vAlign w:val="center"/>
          </w:tcPr>
          <w:p>
            <w:pPr>
              <w:snapToGrid w:val="0"/>
              <w:jc w:val="center"/>
              <w:rPr>
                <w:rFonts w:ascii="宋体" w:hAnsi="宋体" w:cs="宋体"/>
                <w:snapToGrid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trHeight w:val="500" w:hRule="atLeast"/>
        </w:trPr>
        <w:tc>
          <w:tcPr>
            <w:tcW w:w="1040" w:type="dxa"/>
            <w:vAlign w:val="center"/>
          </w:tcPr>
          <w:p>
            <w:pPr>
              <w:snapToGrid w:val="0"/>
              <w:jc w:val="center"/>
              <w:rPr>
                <w:rFonts w:ascii="宋体" w:hAnsi="宋体" w:cs="宋体"/>
                <w:snapToGrid w:val="0"/>
                <w:color w:val="auto"/>
                <w:sz w:val="18"/>
                <w:szCs w:val="18"/>
                <w:highlight w:val="none"/>
              </w:rPr>
            </w:pPr>
          </w:p>
        </w:tc>
        <w:tc>
          <w:tcPr>
            <w:tcW w:w="1299" w:type="dxa"/>
            <w:vAlign w:val="center"/>
          </w:tcPr>
          <w:p>
            <w:pPr>
              <w:snapToGrid w:val="0"/>
              <w:jc w:val="center"/>
              <w:rPr>
                <w:rFonts w:ascii="宋体" w:hAnsi="宋体" w:cs="宋体"/>
                <w:snapToGrid w:val="0"/>
                <w:color w:val="auto"/>
                <w:sz w:val="18"/>
                <w:szCs w:val="18"/>
                <w:highlight w:val="none"/>
              </w:rPr>
            </w:pPr>
          </w:p>
        </w:tc>
        <w:tc>
          <w:tcPr>
            <w:tcW w:w="2318" w:type="dxa"/>
            <w:vAlign w:val="center"/>
          </w:tcPr>
          <w:p>
            <w:pPr>
              <w:snapToGrid w:val="0"/>
              <w:jc w:val="center"/>
              <w:rPr>
                <w:rFonts w:ascii="宋体" w:hAnsi="宋体" w:cs="宋体"/>
                <w:snapToGrid w:val="0"/>
                <w:color w:val="auto"/>
                <w:sz w:val="18"/>
                <w:szCs w:val="18"/>
                <w:highlight w:val="none"/>
              </w:rPr>
            </w:pPr>
          </w:p>
        </w:tc>
        <w:tc>
          <w:tcPr>
            <w:tcW w:w="1290" w:type="dxa"/>
            <w:vAlign w:val="center"/>
          </w:tcPr>
          <w:p>
            <w:pPr>
              <w:snapToGrid w:val="0"/>
              <w:jc w:val="center"/>
              <w:rPr>
                <w:rFonts w:ascii="宋体" w:hAnsi="宋体" w:cs="宋体"/>
                <w:snapToGrid w:val="0"/>
                <w:color w:val="auto"/>
                <w:sz w:val="18"/>
                <w:szCs w:val="18"/>
                <w:highlight w:val="none"/>
              </w:rPr>
            </w:pPr>
          </w:p>
        </w:tc>
        <w:tc>
          <w:tcPr>
            <w:tcW w:w="2422" w:type="dxa"/>
            <w:vAlign w:val="center"/>
          </w:tcPr>
          <w:p>
            <w:pPr>
              <w:snapToGrid w:val="0"/>
              <w:jc w:val="center"/>
              <w:rPr>
                <w:rFonts w:ascii="宋体" w:hAnsi="宋体" w:cs="宋体"/>
                <w:snapToGrid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trHeight w:val="500" w:hRule="atLeast"/>
        </w:trPr>
        <w:tc>
          <w:tcPr>
            <w:tcW w:w="1040" w:type="dxa"/>
            <w:vAlign w:val="center"/>
          </w:tcPr>
          <w:p>
            <w:pPr>
              <w:snapToGrid w:val="0"/>
              <w:jc w:val="center"/>
              <w:rPr>
                <w:rFonts w:ascii="宋体" w:hAnsi="宋体" w:cs="宋体"/>
                <w:snapToGrid w:val="0"/>
                <w:color w:val="auto"/>
                <w:sz w:val="18"/>
                <w:szCs w:val="18"/>
                <w:highlight w:val="none"/>
              </w:rPr>
            </w:pPr>
          </w:p>
        </w:tc>
        <w:tc>
          <w:tcPr>
            <w:tcW w:w="1299" w:type="dxa"/>
            <w:vAlign w:val="center"/>
          </w:tcPr>
          <w:p>
            <w:pPr>
              <w:snapToGrid w:val="0"/>
              <w:jc w:val="center"/>
              <w:rPr>
                <w:rFonts w:ascii="宋体" w:hAnsi="宋体" w:cs="宋体"/>
                <w:snapToGrid w:val="0"/>
                <w:color w:val="auto"/>
                <w:sz w:val="18"/>
                <w:szCs w:val="18"/>
                <w:highlight w:val="none"/>
              </w:rPr>
            </w:pPr>
          </w:p>
        </w:tc>
        <w:tc>
          <w:tcPr>
            <w:tcW w:w="2318" w:type="dxa"/>
            <w:vAlign w:val="center"/>
          </w:tcPr>
          <w:p>
            <w:pPr>
              <w:snapToGrid w:val="0"/>
              <w:jc w:val="center"/>
              <w:rPr>
                <w:rFonts w:ascii="宋体" w:hAnsi="宋体" w:cs="宋体"/>
                <w:snapToGrid w:val="0"/>
                <w:color w:val="auto"/>
                <w:sz w:val="18"/>
                <w:szCs w:val="18"/>
                <w:highlight w:val="none"/>
              </w:rPr>
            </w:pPr>
          </w:p>
        </w:tc>
        <w:tc>
          <w:tcPr>
            <w:tcW w:w="1290" w:type="dxa"/>
            <w:vAlign w:val="center"/>
          </w:tcPr>
          <w:p>
            <w:pPr>
              <w:snapToGrid w:val="0"/>
              <w:jc w:val="center"/>
              <w:rPr>
                <w:rFonts w:ascii="宋体" w:hAnsi="宋体" w:cs="宋体"/>
                <w:snapToGrid w:val="0"/>
                <w:color w:val="auto"/>
                <w:sz w:val="18"/>
                <w:szCs w:val="18"/>
                <w:highlight w:val="none"/>
              </w:rPr>
            </w:pPr>
          </w:p>
        </w:tc>
        <w:tc>
          <w:tcPr>
            <w:tcW w:w="2422" w:type="dxa"/>
            <w:vAlign w:val="center"/>
          </w:tcPr>
          <w:p>
            <w:pPr>
              <w:snapToGrid w:val="0"/>
              <w:jc w:val="center"/>
              <w:rPr>
                <w:rFonts w:ascii="宋体" w:hAnsi="宋体" w:cs="宋体"/>
                <w:snapToGrid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trHeight w:val="500" w:hRule="atLeast"/>
        </w:trPr>
        <w:tc>
          <w:tcPr>
            <w:tcW w:w="1040" w:type="dxa"/>
            <w:vAlign w:val="center"/>
          </w:tcPr>
          <w:p>
            <w:pPr>
              <w:snapToGrid w:val="0"/>
              <w:jc w:val="center"/>
              <w:rPr>
                <w:rFonts w:ascii="宋体" w:hAnsi="宋体" w:cs="宋体"/>
                <w:snapToGrid w:val="0"/>
                <w:color w:val="auto"/>
                <w:sz w:val="18"/>
                <w:szCs w:val="18"/>
                <w:highlight w:val="none"/>
              </w:rPr>
            </w:pPr>
          </w:p>
        </w:tc>
        <w:tc>
          <w:tcPr>
            <w:tcW w:w="1299" w:type="dxa"/>
            <w:vAlign w:val="center"/>
          </w:tcPr>
          <w:p>
            <w:pPr>
              <w:snapToGrid w:val="0"/>
              <w:jc w:val="center"/>
              <w:rPr>
                <w:rFonts w:ascii="宋体" w:hAnsi="宋体" w:cs="宋体"/>
                <w:snapToGrid w:val="0"/>
                <w:color w:val="auto"/>
                <w:sz w:val="18"/>
                <w:szCs w:val="18"/>
                <w:highlight w:val="none"/>
              </w:rPr>
            </w:pPr>
          </w:p>
        </w:tc>
        <w:tc>
          <w:tcPr>
            <w:tcW w:w="2318" w:type="dxa"/>
            <w:vAlign w:val="center"/>
          </w:tcPr>
          <w:p>
            <w:pPr>
              <w:snapToGrid w:val="0"/>
              <w:jc w:val="center"/>
              <w:rPr>
                <w:rFonts w:ascii="宋体" w:hAnsi="宋体" w:cs="宋体"/>
                <w:snapToGrid w:val="0"/>
                <w:color w:val="auto"/>
                <w:sz w:val="18"/>
                <w:szCs w:val="18"/>
                <w:highlight w:val="none"/>
              </w:rPr>
            </w:pPr>
          </w:p>
        </w:tc>
        <w:tc>
          <w:tcPr>
            <w:tcW w:w="1290" w:type="dxa"/>
            <w:vAlign w:val="center"/>
          </w:tcPr>
          <w:p>
            <w:pPr>
              <w:snapToGrid w:val="0"/>
              <w:jc w:val="center"/>
              <w:rPr>
                <w:rFonts w:ascii="宋体" w:hAnsi="宋体" w:cs="宋体"/>
                <w:snapToGrid w:val="0"/>
                <w:color w:val="auto"/>
                <w:sz w:val="18"/>
                <w:szCs w:val="18"/>
                <w:highlight w:val="none"/>
              </w:rPr>
            </w:pPr>
          </w:p>
        </w:tc>
        <w:tc>
          <w:tcPr>
            <w:tcW w:w="2422" w:type="dxa"/>
            <w:vAlign w:val="center"/>
          </w:tcPr>
          <w:p>
            <w:pPr>
              <w:snapToGrid w:val="0"/>
              <w:jc w:val="center"/>
              <w:rPr>
                <w:rFonts w:ascii="宋体" w:hAnsi="宋体" w:cs="宋体"/>
                <w:snapToGrid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trHeight w:val="500" w:hRule="atLeast"/>
        </w:trPr>
        <w:tc>
          <w:tcPr>
            <w:tcW w:w="1040" w:type="dxa"/>
            <w:vAlign w:val="center"/>
          </w:tcPr>
          <w:p>
            <w:pPr>
              <w:snapToGrid w:val="0"/>
              <w:jc w:val="center"/>
              <w:rPr>
                <w:rFonts w:ascii="宋体" w:hAnsi="宋体" w:cs="宋体"/>
                <w:snapToGrid w:val="0"/>
                <w:color w:val="auto"/>
                <w:sz w:val="18"/>
                <w:szCs w:val="18"/>
                <w:highlight w:val="none"/>
              </w:rPr>
            </w:pPr>
          </w:p>
        </w:tc>
        <w:tc>
          <w:tcPr>
            <w:tcW w:w="1299" w:type="dxa"/>
            <w:vAlign w:val="center"/>
          </w:tcPr>
          <w:p>
            <w:pPr>
              <w:snapToGrid w:val="0"/>
              <w:jc w:val="center"/>
              <w:rPr>
                <w:rFonts w:ascii="宋体" w:hAnsi="宋体" w:cs="宋体"/>
                <w:snapToGrid w:val="0"/>
                <w:color w:val="auto"/>
                <w:sz w:val="18"/>
                <w:szCs w:val="18"/>
                <w:highlight w:val="none"/>
              </w:rPr>
            </w:pPr>
          </w:p>
        </w:tc>
        <w:tc>
          <w:tcPr>
            <w:tcW w:w="2318" w:type="dxa"/>
            <w:vAlign w:val="center"/>
          </w:tcPr>
          <w:p>
            <w:pPr>
              <w:snapToGrid w:val="0"/>
              <w:jc w:val="center"/>
              <w:rPr>
                <w:rFonts w:ascii="宋体" w:hAnsi="宋体" w:cs="宋体"/>
                <w:snapToGrid w:val="0"/>
                <w:color w:val="auto"/>
                <w:sz w:val="18"/>
                <w:szCs w:val="18"/>
                <w:highlight w:val="none"/>
              </w:rPr>
            </w:pPr>
          </w:p>
        </w:tc>
        <w:tc>
          <w:tcPr>
            <w:tcW w:w="1290" w:type="dxa"/>
            <w:vAlign w:val="center"/>
          </w:tcPr>
          <w:p>
            <w:pPr>
              <w:snapToGrid w:val="0"/>
              <w:jc w:val="center"/>
              <w:rPr>
                <w:rFonts w:ascii="宋体" w:hAnsi="宋体" w:cs="宋体"/>
                <w:snapToGrid w:val="0"/>
                <w:color w:val="auto"/>
                <w:sz w:val="18"/>
                <w:szCs w:val="18"/>
                <w:highlight w:val="none"/>
              </w:rPr>
            </w:pPr>
          </w:p>
        </w:tc>
        <w:tc>
          <w:tcPr>
            <w:tcW w:w="2422" w:type="dxa"/>
            <w:vAlign w:val="center"/>
          </w:tcPr>
          <w:p>
            <w:pPr>
              <w:snapToGrid w:val="0"/>
              <w:jc w:val="center"/>
              <w:rPr>
                <w:rFonts w:ascii="宋体" w:hAnsi="宋体" w:cs="宋体"/>
                <w:snapToGrid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trHeight w:val="500" w:hRule="atLeast"/>
        </w:trPr>
        <w:tc>
          <w:tcPr>
            <w:tcW w:w="1040" w:type="dxa"/>
            <w:vAlign w:val="center"/>
          </w:tcPr>
          <w:p>
            <w:pPr>
              <w:snapToGrid w:val="0"/>
              <w:jc w:val="center"/>
              <w:rPr>
                <w:rFonts w:ascii="宋体" w:hAnsi="宋体" w:cs="宋体"/>
                <w:snapToGrid w:val="0"/>
                <w:color w:val="auto"/>
                <w:sz w:val="18"/>
                <w:szCs w:val="18"/>
                <w:highlight w:val="none"/>
              </w:rPr>
            </w:pPr>
          </w:p>
        </w:tc>
        <w:tc>
          <w:tcPr>
            <w:tcW w:w="1299" w:type="dxa"/>
            <w:vAlign w:val="center"/>
          </w:tcPr>
          <w:p>
            <w:pPr>
              <w:snapToGrid w:val="0"/>
              <w:jc w:val="center"/>
              <w:rPr>
                <w:rFonts w:ascii="宋体" w:hAnsi="宋体" w:cs="宋体"/>
                <w:snapToGrid w:val="0"/>
                <w:color w:val="auto"/>
                <w:sz w:val="18"/>
                <w:szCs w:val="18"/>
                <w:highlight w:val="none"/>
              </w:rPr>
            </w:pPr>
          </w:p>
        </w:tc>
        <w:tc>
          <w:tcPr>
            <w:tcW w:w="2318" w:type="dxa"/>
            <w:vAlign w:val="center"/>
          </w:tcPr>
          <w:p>
            <w:pPr>
              <w:snapToGrid w:val="0"/>
              <w:jc w:val="center"/>
              <w:rPr>
                <w:rFonts w:ascii="宋体" w:hAnsi="宋体" w:cs="宋体"/>
                <w:snapToGrid w:val="0"/>
                <w:color w:val="auto"/>
                <w:sz w:val="18"/>
                <w:szCs w:val="18"/>
                <w:highlight w:val="none"/>
              </w:rPr>
            </w:pPr>
          </w:p>
        </w:tc>
        <w:tc>
          <w:tcPr>
            <w:tcW w:w="1290" w:type="dxa"/>
            <w:vAlign w:val="center"/>
          </w:tcPr>
          <w:p>
            <w:pPr>
              <w:snapToGrid w:val="0"/>
              <w:jc w:val="center"/>
              <w:rPr>
                <w:rFonts w:ascii="宋体" w:hAnsi="宋体" w:cs="宋体"/>
                <w:snapToGrid w:val="0"/>
                <w:color w:val="auto"/>
                <w:sz w:val="18"/>
                <w:szCs w:val="18"/>
                <w:highlight w:val="none"/>
              </w:rPr>
            </w:pPr>
          </w:p>
        </w:tc>
        <w:tc>
          <w:tcPr>
            <w:tcW w:w="2422" w:type="dxa"/>
            <w:vAlign w:val="center"/>
          </w:tcPr>
          <w:p>
            <w:pPr>
              <w:snapToGrid w:val="0"/>
              <w:jc w:val="center"/>
              <w:rPr>
                <w:rFonts w:ascii="宋体" w:hAnsi="宋体" w:cs="宋体"/>
                <w:snapToGrid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trHeight w:val="500" w:hRule="atLeast"/>
        </w:trPr>
        <w:tc>
          <w:tcPr>
            <w:tcW w:w="1040" w:type="dxa"/>
            <w:vAlign w:val="center"/>
          </w:tcPr>
          <w:p>
            <w:pPr>
              <w:snapToGrid w:val="0"/>
              <w:jc w:val="center"/>
              <w:rPr>
                <w:rFonts w:ascii="宋体" w:hAnsi="宋体" w:cs="宋体"/>
                <w:snapToGrid w:val="0"/>
                <w:color w:val="auto"/>
                <w:sz w:val="18"/>
                <w:szCs w:val="18"/>
                <w:highlight w:val="none"/>
              </w:rPr>
            </w:pPr>
          </w:p>
        </w:tc>
        <w:tc>
          <w:tcPr>
            <w:tcW w:w="1299" w:type="dxa"/>
            <w:vAlign w:val="center"/>
          </w:tcPr>
          <w:p>
            <w:pPr>
              <w:snapToGrid w:val="0"/>
              <w:jc w:val="center"/>
              <w:rPr>
                <w:rFonts w:ascii="宋体" w:hAnsi="宋体" w:cs="宋体"/>
                <w:snapToGrid w:val="0"/>
                <w:color w:val="auto"/>
                <w:sz w:val="18"/>
                <w:szCs w:val="18"/>
                <w:highlight w:val="none"/>
              </w:rPr>
            </w:pPr>
          </w:p>
        </w:tc>
        <w:tc>
          <w:tcPr>
            <w:tcW w:w="2318" w:type="dxa"/>
            <w:vAlign w:val="center"/>
          </w:tcPr>
          <w:p>
            <w:pPr>
              <w:snapToGrid w:val="0"/>
              <w:jc w:val="center"/>
              <w:rPr>
                <w:rFonts w:ascii="宋体" w:hAnsi="宋体" w:cs="宋体"/>
                <w:snapToGrid w:val="0"/>
                <w:color w:val="auto"/>
                <w:sz w:val="18"/>
                <w:szCs w:val="18"/>
                <w:highlight w:val="none"/>
              </w:rPr>
            </w:pPr>
          </w:p>
        </w:tc>
        <w:tc>
          <w:tcPr>
            <w:tcW w:w="1290" w:type="dxa"/>
            <w:vAlign w:val="center"/>
          </w:tcPr>
          <w:p>
            <w:pPr>
              <w:snapToGrid w:val="0"/>
              <w:jc w:val="center"/>
              <w:rPr>
                <w:rFonts w:ascii="宋体" w:hAnsi="宋体" w:cs="宋体"/>
                <w:snapToGrid w:val="0"/>
                <w:color w:val="auto"/>
                <w:sz w:val="18"/>
                <w:szCs w:val="18"/>
                <w:highlight w:val="none"/>
              </w:rPr>
            </w:pPr>
          </w:p>
        </w:tc>
        <w:tc>
          <w:tcPr>
            <w:tcW w:w="2422" w:type="dxa"/>
            <w:vAlign w:val="center"/>
          </w:tcPr>
          <w:p>
            <w:pPr>
              <w:snapToGrid w:val="0"/>
              <w:jc w:val="center"/>
              <w:rPr>
                <w:rFonts w:ascii="宋体" w:hAnsi="宋体" w:cs="宋体"/>
                <w:snapToGrid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trHeight w:val="500" w:hRule="atLeast"/>
        </w:trPr>
        <w:tc>
          <w:tcPr>
            <w:tcW w:w="1040" w:type="dxa"/>
            <w:vAlign w:val="center"/>
          </w:tcPr>
          <w:p>
            <w:pPr>
              <w:snapToGrid w:val="0"/>
              <w:jc w:val="center"/>
              <w:rPr>
                <w:rFonts w:ascii="宋体" w:hAnsi="宋体" w:cs="宋体"/>
                <w:snapToGrid w:val="0"/>
                <w:color w:val="auto"/>
                <w:sz w:val="18"/>
                <w:szCs w:val="18"/>
                <w:highlight w:val="none"/>
              </w:rPr>
            </w:pPr>
          </w:p>
        </w:tc>
        <w:tc>
          <w:tcPr>
            <w:tcW w:w="1299" w:type="dxa"/>
            <w:vAlign w:val="center"/>
          </w:tcPr>
          <w:p>
            <w:pPr>
              <w:snapToGrid w:val="0"/>
              <w:jc w:val="center"/>
              <w:rPr>
                <w:rFonts w:ascii="宋体" w:hAnsi="宋体" w:cs="宋体"/>
                <w:snapToGrid w:val="0"/>
                <w:color w:val="auto"/>
                <w:sz w:val="18"/>
                <w:szCs w:val="18"/>
                <w:highlight w:val="none"/>
              </w:rPr>
            </w:pPr>
          </w:p>
        </w:tc>
        <w:tc>
          <w:tcPr>
            <w:tcW w:w="2318" w:type="dxa"/>
            <w:vAlign w:val="center"/>
          </w:tcPr>
          <w:p>
            <w:pPr>
              <w:snapToGrid w:val="0"/>
              <w:jc w:val="center"/>
              <w:rPr>
                <w:rFonts w:ascii="宋体" w:hAnsi="宋体" w:cs="宋体"/>
                <w:snapToGrid w:val="0"/>
                <w:color w:val="auto"/>
                <w:sz w:val="18"/>
                <w:szCs w:val="18"/>
                <w:highlight w:val="none"/>
              </w:rPr>
            </w:pPr>
          </w:p>
        </w:tc>
        <w:tc>
          <w:tcPr>
            <w:tcW w:w="1290" w:type="dxa"/>
            <w:vAlign w:val="center"/>
          </w:tcPr>
          <w:p>
            <w:pPr>
              <w:snapToGrid w:val="0"/>
              <w:jc w:val="center"/>
              <w:rPr>
                <w:rFonts w:ascii="宋体" w:hAnsi="宋体" w:cs="宋体"/>
                <w:snapToGrid w:val="0"/>
                <w:color w:val="auto"/>
                <w:sz w:val="18"/>
                <w:szCs w:val="18"/>
                <w:highlight w:val="none"/>
              </w:rPr>
            </w:pPr>
          </w:p>
        </w:tc>
        <w:tc>
          <w:tcPr>
            <w:tcW w:w="2422" w:type="dxa"/>
            <w:vAlign w:val="center"/>
          </w:tcPr>
          <w:p>
            <w:pPr>
              <w:snapToGrid w:val="0"/>
              <w:jc w:val="center"/>
              <w:rPr>
                <w:rFonts w:ascii="宋体" w:hAnsi="宋体" w:cs="宋体"/>
                <w:snapToGrid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trHeight w:val="500" w:hRule="atLeast"/>
        </w:trPr>
        <w:tc>
          <w:tcPr>
            <w:tcW w:w="1040" w:type="dxa"/>
            <w:vAlign w:val="center"/>
          </w:tcPr>
          <w:p>
            <w:pPr>
              <w:snapToGrid w:val="0"/>
              <w:jc w:val="center"/>
              <w:rPr>
                <w:rFonts w:ascii="宋体" w:hAnsi="宋体" w:cs="宋体"/>
                <w:snapToGrid w:val="0"/>
                <w:color w:val="auto"/>
                <w:sz w:val="18"/>
                <w:szCs w:val="18"/>
                <w:highlight w:val="none"/>
              </w:rPr>
            </w:pPr>
          </w:p>
        </w:tc>
        <w:tc>
          <w:tcPr>
            <w:tcW w:w="1299" w:type="dxa"/>
            <w:vAlign w:val="center"/>
          </w:tcPr>
          <w:p>
            <w:pPr>
              <w:snapToGrid w:val="0"/>
              <w:jc w:val="center"/>
              <w:rPr>
                <w:rFonts w:ascii="宋体" w:hAnsi="宋体" w:cs="宋体"/>
                <w:snapToGrid w:val="0"/>
                <w:color w:val="auto"/>
                <w:sz w:val="18"/>
                <w:szCs w:val="18"/>
                <w:highlight w:val="none"/>
              </w:rPr>
            </w:pPr>
          </w:p>
        </w:tc>
        <w:tc>
          <w:tcPr>
            <w:tcW w:w="2318" w:type="dxa"/>
            <w:vAlign w:val="center"/>
          </w:tcPr>
          <w:p>
            <w:pPr>
              <w:snapToGrid w:val="0"/>
              <w:jc w:val="center"/>
              <w:rPr>
                <w:rFonts w:ascii="宋体" w:hAnsi="宋体" w:cs="宋体"/>
                <w:snapToGrid w:val="0"/>
                <w:color w:val="auto"/>
                <w:sz w:val="18"/>
                <w:szCs w:val="18"/>
                <w:highlight w:val="none"/>
              </w:rPr>
            </w:pPr>
          </w:p>
        </w:tc>
        <w:tc>
          <w:tcPr>
            <w:tcW w:w="1290" w:type="dxa"/>
            <w:vAlign w:val="center"/>
          </w:tcPr>
          <w:p>
            <w:pPr>
              <w:snapToGrid w:val="0"/>
              <w:jc w:val="center"/>
              <w:rPr>
                <w:rFonts w:ascii="宋体" w:hAnsi="宋体" w:cs="宋体"/>
                <w:snapToGrid w:val="0"/>
                <w:color w:val="auto"/>
                <w:sz w:val="18"/>
                <w:szCs w:val="18"/>
                <w:highlight w:val="none"/>
              </w:rPr>
            </w:pPr>
          </w:p>
        </w:tc>
        <w:tc>
          <w:tcPr>
            <w:tcW w:w="2422" w:type="dxa"/>
            <w:vAlign w:val="center"/>
          </w:tcPr>
          <w:p>
            <w:pPr>
              <w:snapToGrid w:val="0"/>
              <w:jc w:val="center"/>
              <w:rPr>
                <w:rFonts w:ascii="宋体" w:hAnsi="宋体" w:cs="宋体"/>
                <w:snapToGrid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trHeight w:val="500" w:hRule="atLeast"/>
        </w:trPr>
        <w:tc>
          <w:tcPr>
            <w:tcW w:w="1040" w:type="dxa"/>
            <w:vAlign w:val="center"/>
          </w:tcPr>
          <w:p>
            <w:pPr>
              <w:snapToGrid w:val="0"/>
              <w:jc w:val="center"/>
              <w:rPr>
                <w:rFonts w:ascii="宋体" w:hAnsi="宋体" w:cs="宋体"/>
                <w:snapToGrid w:val="0"/>
                <w:color w:val="auto"/>
                <w:sz w:val="18"/>
                <w:szCs w:val="18"/>
                <w:highlight w:val="none"/>
              </w:rPr>
            </w:pPr>
          </w:p>
        </w:tc>
        <w:tc>
          <w:tcPr>
            <w:tcW w:w="1299" w:type="dxa"/>
            <w:vAlign w:val="center"/>
          </w:tcPr>
          <w:p>
            <w:pPr>
              <w:snapToGrid w:val="0"/>
              <w:jc w:val="center"/>
              <w:rPr>
                <w:rFonts w:ascii="宋体" w:hAnsi="宋体" w:cs="宋体"/>
                <w:snapToGrid w:val="0"/>
                <w:color w:val="auto"/>
                <w:sz w:val="18"/>
                <w:szCs w:val="18"/>
                <w:highlight w:val="none"/>
              </w:rPr>
            </w:pPr>
          </w:p>
        </w:tc>
        <w:tc>
          <w:tcPr>
            <w:tcW w:w="2318" w:type="dxa"/>
            <w:vAlign w:val="center"/>
          </w:tcPr>
          <w:p>
            <w:pPr>
              <w:snapToGrid w:val="0"/>
              <w:jc w:val="center"/>
              <w:rPr>
                <w:rFonts w:ascii="宋体" w:hAnsi="宋体" w:cs="宋体"/>
                <w:snapToGrid w:val="0"/>
                <w:color w:val="auto"/>
                <w:sz w:val="18"/>
                <w:szCs w:val="18"/>
                <w:highlight w:val="none"/>
              </w:rPr>
            </w:pPr>
          </w:p>
        </w:tc>
        <w:tc>
          <w:tcPr>
            <w:tcW w:w="1290" w:type="dxa"/>
            <w:vAlign w:val="center"/>
          </w:tcPr>
          <w:p>
            <w:pPr>
              <w:snapToGrid w:val="0"/>
              <w:jc w:val="center"/>
              <w:rPr>
                <w:rFonts w:ascii="宋体" w:hAnsi="宋体" w:cs="宋体"/>
                <w:snapToGrid w:val="0"/>
                <w:color w:val="auto"/>
                <w:sz w:val="18"/>
                <w:szCs w:val="18"/>
                <w:highlight w:val="none"/>
              </w:rPr>
            </w:pPr>
          </w:p>
        </w:tc>
        <w:tc>
          <w:tcPr>
            <w:tcW w:w="2422" w:type="dxa"/>
            <w:vAlign w:val="center"/>
          </w:tcPr>
          <w:p>
            <w:pPr>
              <w:snapToGrid w:val="0"/>
              <w:jc w:val="center"/>
              <w:rPr>
                <w:rFonts w:ascii="宋体" w:hAnsi="宋体" w:cs="宋体"/>
                <w:snapToGrid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trHeight w:val="500" w:hRule="atLeast"/>
        </w:trPr>
        <w:tc>
          <w:tcPr>
            <w:tcW w:w="1040" w:type="dxa"/>
            <w:vAlign w:val="center"/>
          </w:tcPr>
          <w:p>
            <w:pPr>
              <w:snapToGrid w:val="0"/>
              <w:jc w:val="center"/>
              <w:rPr>
                <w:rFonts w:ascii="宋体" w:hAnsi="宋体" w:cs="宋体"/>
                <w:snapToGrid w:val="0"/>
                <w:color w:val="auto"/>
                <w:sz w:val="18"/>
                <w:szCs w:val="18"/>
                <w:highlight w:val="none"/>
              </w:rPr>
            </w:pPr>
          </w:p>
        </w:tc>
        <w:tc>
          <w:tcPr>
            <w:tcW w:w="1299" w:type="dxa"/>
            <w:vAlign w:val="center"/>
          </w:tcPr>
          <w:p>
            <w:pPr>
              <w:snapToGrid w:val="0"/>
              <w:jc w:val="center"/>
              <w:rPr>
                <w:rFonts w:ascii="宋体" w:hAnsi="宋体" w:cs="宋体"/>
                <w:snapToGrid w:val="0"/>
                <w:color w:val="auto"/>
                <w:sz w:val="18"/>
                <w:szCs w:val="18"/>
                <w:highlight w:val="none"/>
              </w:rPr>
            </w:pPr>
          </w:p>
        </w:tc>
        <w:tc>
          <w:tcPr>
            <w:tcW w:w="2318" w:type="dxa"/>
            <w:vAlign w:val="center"/>
          </w:tcPr>
          <w:p>
            <w:pPr>
              <w:snapToGrid w:val="0"/>
              <w:jc w:val="center"/>
              <w:rPr>
                <w:rFonts w:ascii="宋体" w:hAnsi="宋体" w:cs="宋体"/>
                <w:snapToGrid w:val="0"/>
                <w:color w:val="auto"/>
                <w:sz w:val="18"/>
                <w:szCs w:val="18"/>
                <w:highlight w:val="none"/>
              </w:rPr>
            </w:pPr>
          </w:p>
        </w:tc>
        <w:tc>
          <w:tcPr>
            <w:tcW w:w="1290" w:type="dxa"/>
            <w:vAlign w:val="center"/>
          </w:tcPr>
          <w:p>
            <w:pPr>
              <w:snapToGrid w:val="0"/>
              <w:jc w:val="center"/>
              <w:rPr>
                <w:rFonts w:ascii="宋体" w:hAnsi="宋体" w:cs="宋体"/>
                <w:snapToGrid w:val="0"/>
                <w:color w:val="auto"/>
                <w:sz w:val="18"/>
                <w:szCs w:val="18"/>
                <w:highlight w:val="none"/>
              </w:rPr>
            </w:pPr>
          </w:p>
        </w:tc>
        <w:tc>
          <w:tcPr>
            <w:tcW w:w="2422" w:type="dxa"/>
            <w:vAlign w:val="center"/>
          </w:tcPr>
          <w:p>
            <w:pPr>
              <w:snapToGrid w:val="0"/>
              <w:jc w:val="center"/>
              <w:rPr>
                <w:rFonts w:ascii="宋体" w:hAnsi="宋体" w:cs="宋体"/>
                <w:snapToGrid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trHeight w:val="500" w:hRule="atLeast"/>
        </w:trPr>
        <w:tc>
          <w:tcPr>
            <w:tcW w:w="1040" w:type="dxa"/>
            <w:vAlign w:val="center"/>
          </w:tcPr>
          <w:p>
            <w:pPr>
              <w:snapToGrid w:val="0"/>
              <w:jc w:val="center"/>
              <w:rPr>
                <w:rFonts w:ascii="宋体" w:hAnsi="宋体" w:cs="宋体"/>
                <w:snapToGrid w:val="0"/>
                <w:color w:val="auto"/>
                <w:sz w:val="18"/>
                <w:szCs w:val="18"/>
                <w:highlight w:val="none"/>
              </w:rPr>
            </w:pPr>
          </w:p>
        </w:tc>
        <w:tc>
          <w:tcPr>
            <w:tcW w:w="1299" w:type="dxa"/>
            <w:vAlign w:val="center"/>
          </w:tcPr>
          <w:p>
            <w:pPr>
              <w:snapToGrid w:val="0"/>
              <w:jc w:val="center"/>
              <w:rPr>
                <w:rFonts w:ascii="宋体" w:hAnsi="宋体" w:cs="宋体"/>
                <w:snapToGrid w:val="0"/>
                <w:color w:val="auto"/>
                <w:sz w:val="18"/>
                <w:szCs w:val="18"/>
                <w:highlight w:val="none"/>
              </w:rPr>
            </w:pPr>
          </w:p>
        </w:tc>
        <w:tc>
          <w:tcPr>
            <w:tcW w:w="2318" w:type="dxa"/>
            <w:vAlign w:val="center"/>
          </w:tcPr>
          <w:p>
            <w:pPr>
              <w:snapToGrid w:val="0"/>
              <w:jc w:val="center"/>
              <w:rPr>
                <w:rFonts w:ascii="宋体" w:hAnsi="宋体" w:cs="宋体"/>
                <w:snapToGrid w:val="0"/>
                <w:color w:val="auto"/>
                <w:sz w:val="18"/>
                <w:szCs w:val="18"/>
                <w:highlight w:val="none"/>
              </w:rPr>
            </w:pPr>
          </w:p>
        </w:tc>
        <w:tc>
          <w:tcPr>
            <w:tcW w:w="1290" w:type="dxa"/>
            <w:vAlign w:val="center"/>
          </w:tcPr>
          <w:p>
            <w:pPr>
              <w:snapToGrid w:val="0"/>
              <w:jc w:val="center"/>
              <w:rPr>
                <w:rFonts w:ascii="宋体" w:hAnsi="宋体" w:cs="宋体"/>
                <w:snapToGrid w:val="0"/>
                <w:color w:val="auto"/>
                <w:sz w:val="18"/>
                <w:szCs w:val="18"/>
                <w:highlight w:val="none"/>
              </w:rPr>
            </w:pPr>
          </w:p>
        </w:tc>
        <w:tc>
          <w:tcPr>
            <w:tcW w:w="2422" w:type="dxa"/>
            <w:vAlign w:val="center"/>
          </w:tcPr>
          <w:p>
            <w:pPr>
              <w:snapToGrid w:val="0"/>
              <w:jc w:val="center"/>
              <w:rPr>
                <w:rFonts w:ascii="宋体" w:hAnsi="宋体" w:cs="宋体"/>
                <w:snapToGrid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trHeight w:val="500" w:hRule="atLeast"/>
        </w:trPr>
        <w:tc>
          <w:tcPr>
            <w:tcW w:w="1040" w:type="dxa"/>
            <w:vAlign w:val="center"/>
          </w:tcPr>
          <w:p>
            <w:pPr>
              <w:snapToGrid w:val="0"/>
              <w:jc w:val="center"/>
              <w:rPr>
                <w:rFonts w:ascii="宋体" w:hAnsi="宋体" w:cs="宋体"/>
                <w:snapToGrid w:val="0"/>
                <w:color w:val="auto"/>
                <w:sz w:val="18"/>
                <w:szCs w:val="18"/>
                <w:highlight w:val="none"/>
              </w:rPr>
            </w:pPr>
          </w:p>
        </w:tc>
        <w:tc>
          <w:tcPr>
            <w:tcW w:w="1299" w:type="dxa"/>
            <w:vAlign w:val="center"/>
          </w:tcPr>
          <w:p>
            <w:pPr>
              <w:snapToGrid w:val="0"/>
              <w:jc w:val="center"/>
              <w:rPr>
                <w:rFonts w:ascii="宋体" w:hAnsi="宋体" w:cs="宋体"/>
                <w:snapToGrid w:val="0"/>
                <w:color w:val="auto"/>
                <w:sz w:val="18"/>
                <w:szCs w:val="18"/>
                <w:highlight w:val="none"/>
              </w:rPr>
            </w:pPr>
          </w:p>
        </w:tc>
        <w:tc>
          <w:tcPr>
            <w:tcW w:w="2318" w:type="dxa"/>
            <w:vAlign w:val="center"/>
          </w:tcPr>
          <w:p>
            <w:pPr>
              <w:snapToGrid w:val="0"/>
              <w:jc w:val="center"/>
              <w:rPr>
                <w:rFonts w:ascii="宋体" w:hAnsi="宋体" w:cs="宋体"/>
                <w:snapToGrid w:val="0"/>
                <w:color w:val="auto"/>
                <w:sz w:val="18"/>
                <w:szCs w:val="18"/>
                <w:highlight w:val="none"/>
              </w:rPr>
            </w:pPr>
          </w:p>
        </w:tc>
        <w:tc>
          <w:tcPr>
            <w:tcW w:w="1290" w:type="dxa"/>
            <w:vAlign w:val="center"/>
          </w:tcPr>
          <w:p>
            <w:pPr>
              <w:snapToGrid w:val="0"/>
              <w:jc w:val="center"/>
              <w:rPr>
                <w:rFonts w:ascii="宋体" w:hAnsi="宋体" w:cs="宋体"/>
                <w:snapToGrid w:val="0"/>
                <w:color w:val="auto"/>
                <w:sz w:val="18"/>
                <w:szCs w:val="18"/>
                <w:highlight w:val="none"/>
              </w:rPr>
            </w:pPr>
          </w:p>
        </w:tc>
        <w:tc>
          <w:tcPr>
            <w:tcW w:w="2422" w:type="dxa"/>
            <w:vAlign w:val="center"/>
          </w:tcPr>
          <w:p>
            <w:pPr>
              <w:snapToGrid w:val="0"/>
              <w:jc w:val="center"/>
              <w:rPr>
                <w:rFonts w:ascii="宋体" w:hAnsi="宋体" w:cs="宋体"/>
                <w:snapToGrid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trHeight w:val="500" w:hRule="atLeast"/>
        </w:trPr>
        <w:tc>
          <w:tcPr>
            <w:tcW w:w="1040" w:type="dxa"/>
            <w:vAlign w:val="center"/>
          </w:tcPr>
          <w:p>
            <w:pPr>
              <w:snapToGrid w:val="0"/>
              <w:jc w:val="center"/>
              <w:rPr>
                <w:rFonts w:ascii="宋体" w:hAnsi="宋体" w:cs="宋体"/>
                <w:snapToGrid w:val="0"/>
                <w:color w:val="auto"/>
                <w:sz w:val="18"/>
                <w:szCs w:val="18"/>
                <w:highlight w:val="none"/>
              </w:rPr>
            </w:pPr>
          </w:p>
        </w:tc>
        <w:tc>
          <w:tcPr>
            <w:tcW w:w="1299" w:type="dxa"/>
            <w:vAlign w:val="center"/>
          </w:tcPr>
          <w:p>
            <w:pPr>
              <w:snapToGrid w:val="0"/>
              <w:jc w:val="center"/>
              <w:rPr>
                <w:rFonts w:ascii="宋体" w:hAnsi="宋体" w:cs="宋体"/>
                <w:snapToGrid w:val="0"/>
                <w:color w:val="auto"/>
                <w:sz w:val="18"/>
                <w:szCs w:val="18"/>
                <w:highlight w:val="none"/>
              </w:rPr>
            </w:pPr>
          </w:p>
        </w:tc>
        <w:tc>
          <w:tcPr>
            <w:tcW w:w="2318" w:type="dxa"/>
            <w:vAlign w:val="center"/>
          </w:tcPr>
          <w:p>
            <w:pPr>
              <w:snapToGrid w:val="0"/>
              <w:jc w:val="center"/>
              <w:rPr>
                <w:rFonts w:ascii="宋体" w:hAnsi="宋体" w:cs="宋体"/>
                <w:snapToGrid w:val="0"/>
                <w:color w:val="auto"/>
                <w:sz w:val="18"/>
                <w:szCs w:val="18"/>
                <w:highlight w:val="none"/>
              </w:rPr>
            </w:pPr>
          </w:p>
        </w:tc>
        <w:tc>
          <w:tcPr>
            <w:tcW w:w="1290" w:type="dxa"/>
            <w:vAlign w:val="center"/>
          </w:tcPr>
          <w:p>
            <w:pPr>
              <w:snapToGrid w:val="0"/>
              <w:jc w:val="center"/>
              <w:rPr>
                <w:rFonts w:ascii="宋体" w:hAnsi="宋体" w:cs="宋体"/>
                <w:snapToGrid w:val="0"/>
                <w:color w:val="auto"/>
                <w:sz w:val="18"/>
                <w:szCs w:val="18"/>
                <w:highlight w:val="none"/>
              </w:rPr>
            </w:pPr>
          </w:p>
        </w:tc>
        <w:tc>
          <w:tcPr>
            <w:tcW w:w="2422" w:type="dxa"/>
            <w:vAlign w:val="center"/>
          </w:tcPr>
          <w:p>
            <w:pPr>
              <w:snapToGrid w:val="0"/>
              <w:jc w:val="center"/>
              <w:rPr>
                <w:rFonts w:ascii="宋体" w:hAnsi="宋体" w:cs="宋体"/>
                <w:snapToGrid w:val="0"/>
                <w:color w:val="auto"/>
                <w:sz w:val="18"/>
                <w:szCs w:val="18"/>
                <w:highlight w:val="none"/>
              </w:rPr>
            </w:pPr>
          </w:p>
        </w:tc>
      </w:tr>
    </w:tbl>
    <w:p>
      <w:pPr>
        <w:pStyle w:val="4"/>
        <w:ind w:firstLine="422" w:firstLineChars="200"/>
        <w:jc w:val="center"/>
        <w:rPr>
          <w:rFonts w:cs="宋体"/>
          <w:b w:val="0"/>
          <w:color w:val="auto"/>
          <w:sz w:val="21"/>
          <w:szCs w:val="21"/>
          <w:highlight w:val="none"/>
        </w:rPr>
      </w:pPr>
      <w:r>
        <w:rPr>
          <w:rFonts w:hint="eastAsia" w:cs="宋体"/>
          <w:color w:val="auto"/>
          <w:sz w:val="21"/>
          <w:szCs w:val="21"/>
          <w:highlight w:val="none"/>
        </w:rPr>
        <w:br w:type="page"/>
      </w:r>
      <w:bookmarkStart w:id="537" w:name="_Toc26593"/>
      <w:bookmarkStart w:id="538" w:name="_Toc17778"/>
      <w:bookmarkStart w:id="539" w:name="_Toc7394"/>
      <w:bookmarkStart w:id="540" w:name="_Toc20437"/>
      <w:bookmarkStart w:id="541" w:name="_Toc14101"/>
      <w:bookmarkStart w:id="542" w:name="_Toc8744"/>
      <w:bookmarkStart w:id="543" w:name="_Toc14141"/>
      <w:bookmarkStart w:id="544" w:name="_Toc21923"/>
      <w:bookmarkStart w:id="545" w:name="_Toc26709"/>
      <w:bookmarkStart w:id="546" w:name="_Toc31682"/>
      <w:bookmarkStart w:id="547" w:name="_Toc21138"/>
      <w:bookmarkStart w:id="548" w:name="_Toc30773"/>
      <w:bookmarkStart w:id="549" w:name="_Toc3489"/>
      <w:bookmarkStart w:id="550" w:name="_Toc11827"/>
      <w:bookmarkStart w:id="551" w:name="_Toc509632897"/>
      <w:bookmarkStart w:id="552" w:name="_Toc31244"/>
      <w:bookmarkStart w:id="553" w:name="_Toc509633009"/>
      <w:bookmarkStart w:id="554" w:name="_Toc65"/>
      <w:bookmarkStart w:id="555" w:name="_Toc6851"/>
      <w:bookmarkStart w:id="556" w:name="_Toc31809"/>
      <w:bookmarkStart w:id="557" w:name="_Toc25603"/>
      <w:bookmarkStart w:id="558" w:name="_Toc12284"/>
      <w:bookmarkStart w:id="559" w:name="_Toc22031"/>
      <w:bookmarkStart w:id="560" w:name="_Toc19508"/>
      <w:bookmarkStart w:id="561" w:name="_Toc311451309"/>
      <w:bookmarkStart w:id="562" w:name="_Toc29204"/>
      <w:bookmarkStart w:id="563" w:name="_Toc1834"/>
      <w:bookmarkStart w:id="564" w:name="_Toc32500"/>
      <w:bookmarkStart w:id="565" w:name="_Toc20923"/>
      <w:bookmarkStart w:id="566" w:name="_Toc509576598"/>
      <w:bookmarkStart w:id="567" w:name="_Toc21110"/>
      <w:bookmarkStart w:id="568" w:name="_Toc3425"/>
      <w:bookmarkStart w:id="569" w:name="_Toc17815"/>
      <w:bookmarkStart w:id="570" w:name="_Toc21231"/>
      <w:bookmarkStart w:id="571" w:name="_Toc10711"/>
      <w:bookmarkStart w:id="572" w:name="_Toc29628"/>
      <w:bookmarkStart w:id="573" w:name="_Toc22751"/>
      <w:bookmarkStart w:id="574" w:name="_Toc3985"/>
      <w:bookmarkStart w:id="575" w:name="_Toc26989"/>
      <w:bookmarkStart w:id="576" w:name="_Toc28506"/>
      <w:bookmarkStart w:id="577" w:name="_Toc32276"/>
      <w:bookmarkStart w:id="578" w:name="_Toc9814"/>
      <w:bookmarkStart w:id="579" w:name="_Toc13338"/>
      <w:bookmarkStart w:id="580" w:name="_Toc23049"/>
      <w:bookmarkStart w:id="581" w:name="_Toc30904"/>
      <w:bookmarkStart w:id="582" w:name="_Toc16524"/>
      <w:bookmarkStart w:id="583" w:name="_Toc2599"/>
      <w:bookmarkStart w:id="584" w:name="_Toc16919"/>
      <w:bookmarkStart w:id="585" w:name="_Toc25626"/>
      <w:bookmarkStart w:id="586" w:name="_Toc30052"/>
      <w:bookmarkStart w:id="587" w:name="_Toc22390"/>
      <w:bookmarkStart w:id="588" w:name="_Toc25150"/>
      <w:bookmarkStart w:id="589" w:name="_Toc20046"/>
      <w:bookmarkStart w:id="590" w:name="_Toc12352"/>
      <w:bookmarkStart w:id="591" w:name="_Toc14468"/>
      <w:bookmarkStart w:id="592" w:name="_Toc27502"/>
      <w:bookmarkStart w:id="593" w:name="_Toc11423"/>
      <w:bookmarkStart w:id="594" w:name="_Toc17496"/>
      <w:bookmarkStart w:id="595" w:name="_Toc474832163"/>
      <w:bookmarkStart w:id="596" w:name="_Toc11567"/>
      <w:bookmarkStart w:id="597" w:name="_Toc249601751"/>
      <w:bookmarkStart w:id="598" w:name="_Toc15561"/>
      <w:bookmarkStart w:id="599" w:name="_Toc6872"/>
      <w:bookmarkStart w:id="600" w:name="_Toc27650"/>
      <w:bookmarkStart w:id="601" w:name="_Toc4249"/>
      <w:bookmarkStart w:id="602" w:name="_Toc21223"/>
      <w:bookmarkStart w:id="603" w:name="_Toc91247587"/>
      <w:bookmarkStart w:id="604" w:name="_Toc10779"/>
      <w:bookmarkStart w:id="605" w:name="_Toc15267"/>
      <w:bookmarkStart w:id="606" w:name="_Toc162457037"/>
      <w:bookmarkStart w:id="607" w:name="_Toc21158"/>
      <w:r>
        <w:rPr>
          <w:rFonts w:hint="eastAsia" w:cs="宋体"/>
          <w:color w:val="auto"/>
          <w:kern w:val="2"/>
          <w:sz w:val="21"/>
          <w:szCs w:val="21"/>
          <w:highlight w:val="none"/>
        </w:rPr>
        <w:t>第六章 供货范围</w:t>
      </w:r>
      <w:bookmarkEnd w:id="529"/>
      <w:bookmarkEnd w:id="530"/>
      <w:bookmarkEnd w:id="531"/>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Start w:id="608" w:name="_Toc5339"/>
      <w:bookmarkStart w:id="609" w:name="_Toc396528492"/>
      <w:bookmarkStart w:id="610" w:name="_Toc397131861"/>
      <w:bookmarkStart w:id="611" w:name="_Toc501336194"/>
      <w:bookmarkStart w:id="612" w:name="_Toc396528061"/>
      <w:bookmarkStart w:id="613" w:name="_Toc7677"/>
      <w:bookmarkStart w:id="614" w:name="_Toc509633012"/>
      <w:bookmarkStart w:id="615" w:name="_Toc396527846"/>
      <w:bookmarkStart w:id="616" w:name="_Toc6789"/>
      <w:bookmarkStart w:id="617" w:name="_Toc399318771"/>
      <w:bookmarkStart w:id="618" w:name="_Toc509632900"/>
      <w:bookmarkStart w:id="619" w:name="_Toc396529285"/>
      <w:bookmarkStart w:id="620" w:name="_Toc396988662"/>
      <w:bookmarkStart w:id="621" w:name="_Toc397175917"/>
      <w:bookmarkStart w:id="622" w:name="_Toc502332511"/>
      <w:bookmarkStart w:id="623" w:name="_Toc19945"/>
      <w:bookmarkStart w:id="624" w:name="_Toc396990276"/>
      <w:bookmarkStart w:id="625" w:name="_Toc502331816"/>
      <w:bookmarkStart w:id="626" w:name="_Toc509576601"/>
      <w:bookmarkStart w:id="627" w:name="_Toc311451316"/>
      <w:bookmarkStart w:id="628" w:name="_Toc397174646"/>
      <w:bookmarkStart w:id="629" w:name="_Toc30919"/>
      <w:bookmarkStart w:id="630" w:name="_Toc6103"/>
      <w:bookmarkStart w:id="631" w:name="_Toc501726285"/>
    </w:p>
    <w:p>
      <w:pPr>
        <w:keepNext/>
        <w:tabs>
          <w:tab w:val="left" w:pos="600"/>
        </w:tabs>
        <w:adjustRightInd w:val="0"/>
        <w:spacing w:before="120" w:after="120"/>
        <w:textAlignment w:val="baseline"/>
        <w:outlineLvl w:val="1"/>
        <w:rPr>
          <w:rFonts w:ascii="宋体" w:hAnsi="宋体"/>
          <w:b/>
          <w:bCs/>
          <w:color w:val="auto"/>
          <w:kern w:val="0"/>
          <w:highlight w:val="none"/>
        </w:rPr>
      </w:pPr>
      <w:bookmarkStart w:id="632" w:name="_Toc91247588"/>
      <w:r>
        <w:rPr>
          <w:rFonts w:ascii="宋体" w:hAnsi="宋体"/>
          <w:b/>
          <w:bCs/>
          <w:color w:val="auto"/>
          <w:kern w:val="0"/>
          <w:highlight w:val="none"/>
        </w:rPr>
        <w:t xml:space="preserve">1 </w:t>
      </w:r>
      <w:r>
        <w:rPr>
          <w:rFonts w:hint="eastAsia" w:ascii="宋体" w:hAnsi="宋体"/>
          <w:b/>
          <w:bCs/>
          <w:color w:val="auto"/>
          <w:kern w:val="0"/>
          <w:highlight w:val="none"/>
        </w:rPr>
        <w:t>一般要求</w:t>
      </w:r>
      <w:bookmarkEnd w:id="632"/>
    </w:p>
    <w:p>
      <w:pPr>
        <w:tabs>
          <w:tab w:val="left" w:pos="600"/>
        </w:tabs>
        <w:rPr>
          <w:rFonts w:hAnsi="宋体"/>
          <w:bCs/>
          <w:color w:val="auto"/>
          <w:sz w:val="21"/>
          <w:szCs w:val="24"/>
          <w:highlight w:val="none"/>
        </w:rPr>
      </w:pPr>
      <w:r>
        <w:rPr>
          <w:rFonts w:hAnsi="宋体"/>
          <w:bCs/>
          <w:color w:val="auto"/>
          <w:sz w:val="21"/>
          <w:szCs w:val="24"/>
          <w:highlight w:val="none"/>
        </w:rPr>
        <w:t xml:space="preserve">1.1  </w:t>
      </w:r>
      <w:r>
        <w:rPr>
          <w:rFonts w:hint="eastAsia" w:hAnsi="宋体"/>
          <w:bCs/>
          <w:color w:val="auto"/>
          <w:sz w:val="21"/>
          <w:szCs w:val="24"/>
          <w:highlight w:val="none"/>
        </w:rPr>
        <w:t>提供（</w:t>
      </w:r>
      <w:r>
        <w:rPr>
          <w:rFonts w:hint="eastAsia" w:hAnsi="宋体"/>
          <w:bCs/>
          <w:color w:val="auto"/>
          <w:sz w:val="21"/>
          <w:szCs w:val="24"/>
          <w:highlight w:val="none"/>
          <w:u w:val="single"/>
        </w:rPr>
        <w:t>设备名称）</w:t>
      </w:r>
      <w:r>
        <w:rPr>
          <w:rFonts w:hint="eastAsia" w:hAnsi="宋体"/>
          <w:bCs/>
          <w:color w:val="auto"/>
          <w:sz w:val="21"/>
          <w:szCs w:val="24"/>
          <w:highlight w:val="none"/>
        </w:rPr>
        <w:t>设备及其所有附属设备和附件。</w:t>
      </w:r>
    </w:p>
    <w:p>
      <w:pPr>
        <w:tabs>
          <w:tab w:val="left" w:pos="600"/>
        </w:tabs>
        <w:rPr>
          <w:rFonts w:hAnsi="宋体"/>
          <w:bCs/>
          <w:color w:val="auto"/>
          <w:sz w:val="21"/>
          <w:szCs w:val="24"/>
          <w:highlight w:val="none"/>
        </w:rPr>
      </w:pPr>
      <w:r>
        <w:rPr>
          <w:rFonts w:hAnsi="宋体"/>
          <w:bCs/>
          <w:color w:val="auto"/>
          <w:sz w:val="21"/>
          <w:szCs w:val="24"/>
          <w:highlight w:val="none"/>
        </w:rPr>
        <w:t xml:space="preserve">1.2  </w:t>
      </w:r>
      <w:r>
        <w:rPr>
          <w:rFonts w:hint="eastAsia" w:hAnsi="宋体"/>
          <w:bCs/>
          <w:color w:val="auto"/>
          <w:sz w:val="21"/>
          <w:szCs w:val="24"/>
          <w:highlight w:val="none"/>
        </w:rPr>
        <w:t>投标方应满足下列所述及附件1中所提供货要求，但不局限于下列设备和装置。</w:t>
      </w:r>
    </w:p>
    <w:p>
      <w:pPr>
        <w:tabs>
          <w:tab w:val="left" w:pos="600"/>
        </w:tabs>
        <w:rPr>
          <w:rFonts w:hAnsi="宋体"/>
          <w:bCs/>
          <w:color w:val="auto"/>
          <w:sz w:val="21"/>
          <w:szCs w:val="24"/>
          <w:highlight w:val="none"/>
        </w:rPr>
      </w:pPr>
      <w:r>
        <w:rPr>
          <w:rFonts w:hAnsi="宋体"/>
          <w:bCs/>
          <w:color w:val="auto"/>
          <w:sz w:val="21"/>
          <w:szCs w:val="24"/>
          <w:highlight w:val="none"/>
        </w:rPr>
        <w:t xml:space="preserve">1.3 </w:t>
      </w:r>
      <w:r>
        <w:rPr>
          <w:rFonts w:hint="eastAsia" w:hAnsi="宋体"/>
          <w:bCs/>
          <w:color w:val="auto"/>
          <w:sz w:val="21"/>
          <w:szCs w:val="24"/>
          <w:highlight w:val="none"/>
        </w:rPr>
        <w:t xml:space="preserve"> 投标方应提供详细供货清单，清单中依次说明型号、数量、产地、生产厂家等内容。对于属于整套设备运行和施工所必需的部件，即使本附件未列出或数目不足，投标方仍须在执行合同时补足，且不发生费用问题。</w:t>
      </w:r>
    </w:p>
    <w:p>
      <w:pPr>
        <w:tabs>
          <w:tab w:val="left" w:pos="600"/>
        </w:tabs>
        <w:rPr>
          <w:rFonts w:hAnsi="宋体"/>
          <w:bCs/>
          <w:color w:val="auto"/>
          <w:sz w:val="21"/>
          <w:szCs w:val="24"/>
          <w:highlight w:val="none"/>
        </w:rPr>
      </w:pPr>
      <w:r>
        <w:rPr>
          <w:rFonts w:hAnsi="宋体"/>
          <w:bCs/>
          <w:color w:val="auto"/>
          <w:sz w:val="21"/>
          <w:szCs w:val="24"/>
          <w:highlight w:val="none"/>
        </w:rPr>
        <w:t>1.</w:t>
      </w:r>
      <w:r>
        <w:rPr>
          <w:rFonts w:hint="eastAsia" w:hAnsi="宋体"/>
          <w:bCs/>
          <w:color w:val="auto"/>
          <w:sz w:val="21"/>
          <w:szCs w:val="24"/>
          <w:highlight w:val="none"/>
        </w:rPr>
        <w:t>4</w:t>
      </w:r>
      <w:r>
        <w:rPr>
          <w:rFonts w:hAnsi="宋体"/>
          <w:bCs/>
          <w:color w:val="auto"/>
          <w:sz w:val="21"/>
          <w:szCs w:val="24"/>
          <w:highlight w:val="none"/>
        </w:rPr>
        <w:t xml:space="preserve"> </w:t>
      </w:r>
      <w:r>
        <w:rPr>
          <w:rFonts w:hint="eastAsia" w:hAnsi="宋体"/>
          <w:bCs/>
          <w:color w:val="auto"/>
          <w:sz w:val="21"/>
          <w:szCs w:val="24"/>
          <w:highlight w:val="none"/>
        </w:rPr>
        <w:t xml:space="preserve"> 投标方应详细列出所供随机备品备件、专用工具清单。投标方应在详细列出推荐备品备件清单，并单独报价，供招标方选择。</w:t>
      </w:r>
    </w:p>
    <w:p>
      <w:pPr>
        <w:tabs>
          <w:tab w:val="left" w:pos="600"/>
        </w:tabs>
        <w:rPr>
          <w:rFonts w:hAnsi="宋体"/>
          <w:bCs/>
          <w:color w:val="auto"/>
          <w:sz w:val="21"/>
          <w:szCs w:val="24"/>
          <w:highlight w:val="none"/>
        </w:rPr>
      </w:pPr>
      <w:r>
        <w:rPr>
          <w:rFonts w:hAnsi="宋体"/>
          <w:bCs/>
          <w:color w:val="auto"/>
          <w:sz w:val="21"/>
          <w:szCs w:val="24"/>
          <w:highlight w:val="none"/>
        </w:rPr>
        <w:t>1.</w:t>
      </w:r>
      <w:r>
        <w:rPr>
          <w:rFonts w:hint="eastAsia" w:hAnsi="宋体"/>
          <w:bCs/>
          <w:color w:val="auto"/>
          <w:sz w:val="21"/>
          <w:szCs w:val="24"/>
          <w:highlight w:val="none"/>
        </w:rPr>
        <w:t>5  投标方应向招标方提供进口及外购设备的范围及清单，供招标方审阅。招标方有权决定进口或外购设备的范围。</w:t>
      </w:r>
    </w:p>
    <w:p>
      <w:pPr>
        <w:tabs>
          <w:tab w:val="left" w:pos="600"/>
        </w:tabs>
        <w:rPr>
          <w:rFonts w:hAnsi="宋体"/>
          <w:bCs/>
          <w:color w:val="auto"/>
          <w:sz w:val="21"/>
          <w:szCs w:val="24"/>
          <w:highlight w:val="none"/>
        </w:rPr>
      </w:pPr>
      <w:r>
        <w:rPr>
          <w:rFonts w:hAnsi="宋体"/>
          <w:bCs/>
          <w:color w:val="auto"/>
          <w:sz w:val="21"/>
          <w:szCs w:val="24"/>
          <w:highlight w:val="none"/>
        </w:rPr>
        <w:t>1.</w:t>
      </w:r>
      <w:r>
        <w:rPr>
          <w:rFonts w:hint="eastAsia" w:hAnsi="宋体"/>
          <w:bCs/>
          <w:color w:val="auto"/>
          <w:sz w:val="21"/>
          <w:szCs w:val="24"/>
          <w:highlight w:val="none"/>
        </w:rPr>
        <w:t>6</w:t>
      </w:r>
      <w:r>
        <w:rPr>
          <w:rFonts w:hAnsi="宋体"/>
          <w:bCs/>
          <w:color w:val="auto"/>
          <w:sz w:val="21"/>
          <w:szCs w:val="24"/>
          <w:highlight w:val="none"/>
        </w:rPr>
        <w:t xml:space="preserve"> </w:t>
      </w:r>
      <w:r>
        <w:rPr>
          <w:rFonts w:hint="eastAsia" w:hAnsi="宋体"/>
          <w:bCs/>
          <w:color w:val="auto"/>
          <w:sz w:val="21"/>
          <w:szCs w:val="24"/>
          <w:highlight w:val="none"/>
        </w:rPr>
        <w:t xml:space="preserve"> 供货范围和设备配置如与招标文件要求不一致，应在差异表中明确，否则认为完全满足招标文件要求。</w:t>
      </w:r>
    </w:p>
    <w:p>
      <w:pPr>
        <w:tabs>
          <w:tab w:val="left" w:pos="600"/>
        </w:tabs>
        <w:rPr>
          <w:rFonts w:hAnsi="宋体"/>
          <w:bCs/>
          <w:color w:val="auto"/>
          <w:sz w:val="21"/>
          <w:szCs w:val="24"/>
          <w:highlight w:val="none"/>
        </w:rPr>
      </w:pPr>
      <w:r>
        <w:rPr>
          <w:rFonts w:hAnsi="宋体"/>
          <w:bCs/>
          <w:color w:val="auto"/>
          <w:sz w:val="21"/>
          <w:szCs w:val="24"/>
          <w:highlight w:val="none"/>
        </w:rPr>
        <w:t>1.</w:t>
      </w:r>
      <w:r>
        <w:rPr>
          <w:rFonts w:hint="eastAsia" w:hAnsi="宋体"/>
          <w:bCs/>
          <w:color w:val="auto"/>
          <w:sz w:val="21"/>
          <w:szCs w:val="24"/>
          <w:highlight w:val="none"/>
        </w:rPr>
        <w:t xml:space="preserve">7 </w:t>
      </w:r>
      <w:r>
        <w:rPr>
          <w:rFonts w:hAnsi="宋体"/>
          <w:bCs/>
          <w:color w:val="auto"/>
          <w:sz w:val="21"/>
          <w:szCs w:val="24"/>
          <w:highlight w:val="none"/>
        </w:rPr>
        <w:t xml:space="preserve"> </w:t>
      </w:r>
      <w:r>
        <w:rPr>
          <w:rFonts w:hint="eastAsia" w:hAnsi="宋体"/>
          <w:bCs/>
          <w:color w:val="auto"/>
          <w:sz w:val="21"/>
          <w:szCs w:val="24"/>
          <w:highlight w:val="none"/>
        </w:rPr>
        <w:t>如需要，投标方应提供用以说明其供货范围的相关图纸资料。</w:t>
      </w:r>
    </w:p>
    <w:p>
      <w:pPr>
        <w:keepNext/>
        <w:tabs>
          <w:tab w:val="left" w:pos="600"/>
        </w:tabs>
        <w:adjustRightInd w:val="0"/>
        <w:spacing w:before="120" w:after="120"/>
        <w:textAlignment w:val="baseline"/>
        <w:outlineLvl w:val="1"/>
        <w:rPr>
          <w:rFonts w:ascii="宋体" w:hAnsi="宋体"/>
          <w:b/>
          <w:bCs/>
          <w:color w:val="auto"/>
          <w:kern w:val="0"/>
          <w:highlight w:val="none"/>
        </w:rPr>
      </w:pPr>
      <w:bookmarkStart w:id="633" w:name="_Toc91247589"/>
      <w:r>
        <w:rPr>
          <w:rFonts w:hint="eastAsia" w:ascii="宋体" w:hAnsi="宋体"/>
          <w:b/>
          <w:bCs/>
          <w:color w:val="auto"/>
          <w:kern w:val="0"/>
          <w:highlight w:val="none"/>
        </w:rPr>
        <w:t>2</w:t>
      </w:r>
      <w:bookmarkStart w:id="634" w:name="_Toc510683360"/>
      <w:bookmarkStart w:id="635" w:name="_Toc510722322"/>
      <w:r>
        <w:rPr>
          <w:rFonts w:ascii="宋体" w:hAnsi="宋体"/>
          <w:b/>
          <w:bCs/>
          <w:color w:val="auto"/>
          <w:kern w:val="0"/>
          <w:highlight w:val="none"/>
        </w:rPr>
        <w:t xml:space="preserve"> </w:t>
      </w:r>
      <w:r>
        <w:rPr>
          <w:rFonts w:hint="eastAsia" w:ascii="宋体" w:hAnsi="宋体"/>
          <w:b/>
          <w:bCs/>
          <w:color w:val="auto"/>
          <w:kern w:val="0"/>
          <w:highlight w:val="none"/>
        </w:rPr>
        <w:t>工作范围</w:t>
      </w:r>
      <w:bookmarkEnd w:id="633"/>
      <w:bookmarkEnd w:id="634"/>
      <w:bookmarkEnd w:id="635"/>
    </w:p>
    <w:p>
      <w:pPr>
        <w:snapToGrid w:val="0"/>
        <w:ind w:firstLine="480"/>
        <w:rPr>
          <w:rFonts w:hAnsi="宋体"/>
          <w:color w:val="auto"/>
          <w:sz w:val="21"/>
          <w:szCs w:val="24"/>
          <w:highlight w:val="none"/>
        </w:rPr>
      </w:pPr>
      <w:r>
        <w:rPr>
          <w:rFonts w:hint="eastAsia" w:hAnsi="宋体"/>
          <w:color w:val="auto"/>
          <w:sz w:val="21"/>
          <w:szCs w:val="24"/>
          <w:highlight w:val="none"/>
        </w:rPr>
        <w:t>投标方应当完成下列工作：</w:t>
      </w:r>
    </w:p>
    <w:p>
      <w:pPr>
        <w:overflowPunct w:val="0"/>
        <w:snapToGrid w:val="0"/>
        <w:ind w:firstLine="420" w:firstLineChars="200"/>
        <w:rPr>
          <w:rFonts w:hAnsi="宋体"/>
          <w:color w:val="auto"/>
          <w:sz w:val="21"/>
          <w:szCs w:val="24"/>
          <w:highlight w:val="none"/>
        </w:rPr>
      </w:pPr>
      <w:r>
        <w:rPr>
          <w:rFonts w:hint="eastAsia" w:hAnsi="宋体"/>
          <w:color w:val="auto"/>
          <w:sz w:val="21"/>
          <w:szCs w:val="24"/>
          <w:highlight w:val="none"/>
        </w:rPr>
        <w:t>（1）生产和交货情况月报和工厂试验计划；</w:t>
      </w:r>
    </w:p>
    <w:p>
      <w:pPr>
        <w:overflowPunct w:val="0"/>
        <w:snapToGrid w:val="0"/>
        <w:ind w:firstLine="420" w:firstLineChars="200"/>
        <w:rPr>
          <w:rFonts w:hAnsi="宋体"/>
          <w:color w:val="auto"/>
          <w:sz w:val="21"/>
          <w:szCs w:val="24"/>
          <w:highlight w:val="none"/>
        </w:rPr>
      </w:pPr>
      <w:r>
        <w:rPr>
          <w:rFonts w:hint="eastAsia" w:hAnsi="宋体"/>
          <w:color w:val="auto"/>
          <w:sz w:val="21"/>
          <w:szCs w:val="24"/>
          <w:highlight w:val="none"/>
        </w:rPr>
        <w:t>（2）设计、制作、工厂试验、装箱、运输至项目场地（运输目的地的要求详见各光伏电站的特殊要求）、交付、开箱检查；</w:t>
      </w:r>
    </w:p>
    <w:p>
      <w:pPr>
        <w:overflowPunct w:val="0"/>
        <w:snapToGrid w:val="0"/>
        <w:ind w:firstLine="420" w:firstLineChars="200"/>
        <w:rPr>
          <w:rFonts w:hAnsi="宋体"/>
          <w:color w:val="auto"/>
          <w:sz w:val="21"/>
          <w:szCs w:val="24"/>
          <w:highlight w:val="none"/>
        </w:rPr>
      </w:pPr>
      <w:r>
        <w:rPr>
          <w:rFonts w:hint="eastAsia" w:hAnsi="宋体"/>
          <w:color w:val="auto"/>
          <w:sz w:val="21"/>
          <w:szCs w:val="24"/>
          <w:highlight w:val="none"/>
        </w:rPr>
        <w:t>（3）提交设计、安装、使用、维护、维修的有关技术文件、资料和试验记录；</w:t>
      </w:r>
    </w:p>
    <w:p>
      <w:pPr>
        <w:overflowPunct w:val="0"/>
        <w:snapToGrid w:val="0"/>
        <w:ind w:firstLine="420" w:firstLineChars="200"/>
        <w:rPr>
          <w:rFonts w:hAnsi="宋体"/>
          <w:color w:val="auto"/>
          <w:sz w:val="21"/>
          <w:szCs w:val="24"/>
          <w:highlight w:val="none"/>
        </w:rPr>
      </w:pPr>
      <w:r>
        <w:rPr>
          <w:rFonts w:hint="eastAsia" w:hAnsi="宋体"/>
          <w:color w:val="auto"/>
          <w:sz w:val="21"/>
          <w:szCs w:val="24"/>
          <w:highlight w:val="none"/>
        </w:rPr>
        <w:t>（4）编制和提交培训计划，并按计划对采购方人员进行安装、调试、运行和维护的培训；</w:t>
      </w:r>
    </w:p>
    <w:p>
      <w:pPr>
        <w:overflowPunct w:val="0"/>
        <w:snapToGrid w:val="0"/>
        <w:ind w:firstLine="420" w:firstLineChars="200"/>
        <w:rPr>
          <w:rFonts w:hAnsi="宋体"/>
          <w:color w:val="auto"/>
          <w:sz w:val="21"/>
          <w:szCs w:val="24"/>
          <w:highlight w:val="none"/>
        </w:rPr>
      </w:pPr>
      <w:r>
        <w:rPr>
          <w:rFonts w:hint="eastAsia" w:hAnsi="宋体"/>
          <w:color w:val="auto"/>
          <w:sz w:val="21"/>
          <w:szCs w:val="24"/>
          <w:highlight w:val="none"/>
        </w:rPr>
        <w:t>（5）编制和提交所供应的设备安装手册和运行维护手册；</w:t>
      </w:r>
    </w:p>
    <w:p>
      <w:pPr>
        <w:overflowPunct w:val="0"/>
        <w:snapToGrid w:val="0"/>
        <w:ind w:firstLine="420" w:firstLineChars="200"/>
        <w:rPr>
          <w:rFonts w:hAnsi="宋体"/>
          <w:color w:val="auto"/>
          <w:sz w:val="21"/>
          <w:szCs w:val="24"/>
          <w:highlight w:val="none"/>
        </w:rPr>
      </w:pPr>
      <w:r>
        <w:rPr>
          <w:rFonts w:hint="eastAsia" w:hAnsi="宋体"/>
          <w:color w:val="auto"/>
          <w:sz w:val="21"/>
          <w:szCs w:val="24"/>
          <w:highlight w:val="none"/>
        </w:rPr>
        <w:t>（6）编制和提交委派责任人实施的安装指导、现场试验、试运行和调试的工作计划，完成所有合同规定的试运行和调试工作，提交完整的试验和调试报告；</w:t>
      </w:r>
    </w:p>
    <w:p>
      <w:pPr>
        <w:overflowPunct w:val="0"/>
        <w:snapToGrid w:val="0"/>
        <w:ind w:firstLine="420" w:firstLineChars="200"/>
        <w:rPr>
          <w:rFonts w:hAnsi="宋体"/>
          <w:color w:val="auto"/>
          <w:sz w:val="21"/>
          <w:szCs w:val="24"/>
          <w:highlight w:val="none"/>
        </w:rPr>
      </w:pPr>
      <w:r>
        <w:rPr>
          <w:rFonts w:hint="eastAsia" w:hAnsi="宋体"/>
          <w:color w:val="auto"/>
          <w:sz w:val="21"/>
          <w:szCs w:val="24"/>
          <w:highlight w:val="none"/>
        </w:rPr>
        <w:t>（7）编制和提交所供设备相关的服务计划，并提供计划内的和非计划内的维护以及维修；</w:t>
      </w:r>
    </w:p>
    <w:p>
      <w:pPr>
        <w:overflowPunct w:val="0"/>
        <w:snapToGrid w:val="0"/>
        <w:ind w:firstLine="420" w:firstLineChars="200"/>
        <w:rPr>
          <w:rFonts w:hAnsi="宋体"/>
          <w:color w:val="auto"/>
          <w:sz w:val="21"/>
          <w:szCs w:val="24"/>
          <w:highlight w:val="none"/>
        </w:rPr>
      </w:pPr>
      <w:r>
        <w:rPr>
          <w:rFonts w:hint="eastAsia" w:hAnsi="宋体"/>
          <w:color w:val="auto"/>
          <w:sz w:val="21"/>
          <w:szCs w:val="24"/>
          <w:highlight w:val="none"/>
        </w:rPr>
        <w:t>（8）负责逆变器防雷保护和接地保护系统的设计；</w:t>
      </w:r>
    </w:p>
    <w:p>
      <w:pPr>
        <w:overflowPunct w:val="0"/>
        <w:snapToGrid w:val="0"/>
        <w:ind w:firstLine="420" w:firstLineChars="200"/>
        <w:rPr>
          <w:rFonts w:hAnsi="宋体"/>
          <w:color w:val="auto"/>
          <w:sz w:val="21"/>
          <w:szCs w:val="24"/>
          <w:highlight w:val="none"/>
        </w:rPr>
      </w:pPr>
      <w:r>
        <w:rPr>
          <w:rFonts w:hint="eastAsia" w:hAnsi="宋体"/>
          <w:color w:val="auto"/>
          <w:sz w:val="21"/>
          <w:szCs w:val="24"/>
          <w:highlight w:val="none"/>
        </w:rPr>
        <w:t>（9）协助业主安装低压电缆及远程监视控制系统电缆；</w:t>
      </w:r>
    </w:p>
    <w:p>
      <w:pPr>
        <w:overflowPunct w:val="0"/>
        <w:snapToGrid w:val="0"/>
        <w:ind w:firstLine="420" w:firstLineChars="200"/>
        <w:rPr>
          <w:rFonts w:hAnsi="宋体"/>
          <w:color w:val="auto"/>
          <w:sz w:val="21"/>
          <w:szCs w:val="24"/>
          <w:highlight w:val="none"/>
        </w:rPr>
      </w:pPr>
      <w:r>
        <w:rPr>
          <w:rFonts w:hint="eastAsia" w:hAnsi="宋体"/>
          <w:color w:val="auto"/>
          <w:sz w:val="21"/>
          <w:szCs w:val="24"/>
          <w:highlight w:val="none"/>
        </w:rPr>
        <w:t>（10）对设计、交付、检查和验收进行协调，以确保施工进度；</w:t>
      </w:r>
    </w:p>
    <w:p>
      <w:pPr>
        <w:overflowPunct w:val="0"/>
        <w:snapToGrid w:val="0"/>
        <w:ind w:firstLine="420" w:firstLineChars="200"/>
        <w:rPr>
          <w:rFonts w:hAnsi="宋体"/>
          <w:color w:val="auto"/>
          <w:sz w:val="21"/>
          <w:szCs w:val="24"/>
          <w:highlight w:val="none"/>
        </w:rPr>
      </w:pPr>
      <w:r>
        <w:rPr>
          <w:rFonts w:hint="eastAsia" w:hAnsi="宋体"/>
          <w:color w:val="auto"/>
          <w:sz w:val="21"/>
          <w:szCs w:val="24"/>
          <w:highlight w:val="none"/>
        </w:rPr>
        <w:t>（11）所有必要的进一步服务：投标方对无故障安装，设备的正常运行功能，附属服务范围的作用，以及对业主方的服务承担指导责任。</w:t>
      </w:r>
    </w:p>
    <w:p>
      <w:pPr>
        <w:keepNext/>
        <w:tabs>
          <w:tab w:val="left" w:pos="600"/>
        </w:tabs>
        <w:adjustRightInd w:val="0"/>
        <w:spacing w:before="120" w:after="120"/>
        <w:textAlignment w:val="baseline"/>
        <w:outlineLvl w:val="1"/>
        <w:rPr>
          <w:rFonts w:ascii="宋体" w:hAnsi="宋体"/>
          <w:b/>
          <w:bCs/>
          <w:color w:val="auto"/>
          <w:kern w:val="0"/>
          <w:highlight w:val="none"/>
        </w:rPr>
      </w:pPr>
      <w:bookmarkStart w:id="636" w:name="_Toc510683361"/>
      <w:bookmarkStart w:id="637" w:name="_Toc91247590"/>
      <w:bookmarkStart w:id="638" w:name="_Toc510722323"/>
      <w:r>
        <w:rPr>
          <w:rFonts w:hint="eastAsia" w:ascii="宋体" w:hAnsi="宋体"/>
          <w:b/>
          <w:bCs/>
          <w:color w:val="auto"/>
          <w:kern w:val="0"/>
          <w:highlight w:val="none"/>
        </w:rPr>
        <w:t>3</w:t>
      </w:r>
      <w:r>
        <w:rPr>
          <w:rFonts w:ascii="宋体" w:hAnsi="宋体"/>
          <w:b/>
          <w:bCs/>
          <w:color w:val="auto"/>
          <w:kern w:val="0"/>
          <w:highlight w:val="none"/>
        </w:rPr>
        <w:t xml:space="preserve"> </w:t>
      </w:r>
      <w:r>
        <w:rPr>
          <w:rFonts w:hint="eastAsia" w:ascii="宋体" w:hAnsi="宋体"/>
          <w:b/>
          <w:bCs/>
          <w:color w:val="auto"/>
          <w:kern w:val="0"/>
          <w:highlight w:val="none"/>
        </w:rPr>
        <w:t>供货范围</w:t>
      </w:r>
      <w:bookmarkEnd w:id="636"/>
      <w:bookmarkEnd w:id="637"/>
      <w:bookmarkEnd w:id="638"/>
    </w:p>
    <w:p>
      <w:pPr>
        <w:tabs>
          <w:tab w:val="left" w:pos="1544"/>
        </w:tabs>
        <w:snapToGrid w:val="0"/>
        <w:ind w:firstLine="420" w:firstLineChars="200"/>
        <w:rPr>
          <w:rFonts w:hAnsi="宋体"/>
          <w:color w:val="auto"/>
          <w:sz w:val="21"/>
          <w:szCs w:val="24"/>
          <w:highlight w:val="none"/>
        </w:rPr>
      </w:pPr>
      <w:r>
        <w:rPr>
          <w:rFonts w:hint="eastAsia" w:hAnsi="宋体"/>
          <w:color w:val="auto"/>
          <w:sz w:val="21"/>
          <w:szCs w:val="24"/>
          <w:highlight w:val="none"/>
        </w:rPr>
        <w:t>整套逆变器包括确保逆变器正常运行的所有完整设备，包括但不限于外壳、电气系统、控制与保护系统、监控系统、外壳内动力电缆和控制及通信电缆以及相关附件等；逆变器的所有必要的避雷保护设备。</w:t>
      </w:r>
    </w:p>
    <w:p>
      <w:pPr>
        <w:tabs>
          <w:tab w:val="left" w:pos="1544"/>
        </w:tabs>
        <w:snapToGrid w:val="0"/>
        <w:ind w:firstLine="420" w:firstLineChars="200"/>
        <w:rPr>
          <w:rFonts w:hAnsi="宋体"/>
          <w:color w:val="auto"/>
          <w:sz w:val="21"/>
          <w:szCs w:val="24"/>
          <w:highlight w:val="none"/>
        </w:rPr>
      </w:pPr>
      <w:r>
        <w:rPr>
          <w:rFonts w:hint="eastAsia" w:hAnsi="宋体"/>
          <w:color w:val="auto"/>
          <w:sz w:val="21"/>
          <w:szCs w:val="24"/>
          <w:highlight w:val="none"/>
        </w:rPr>
        <w:t>此外，还需提供以下设备：</w:t>
      </w:r>
    </w:p>
    <w:p>
      <w:pPr>
        <w:overflowPunct w:val="0"/>
        <w:snapToGrid w:val="0"/>
        <w:ind w:firstLine="420" w:firstLineChars="200"/>
        <w:rPr>
          <w:rFonts w:hAnsi="宋体"/>
          <w:color w:val="auto"/>
          <w:sz w:val="21"/>
          <w:szCs w:val="24"/>
          <w:highlight w:val="none"/>
        </w:rPr>
      </w:pPr>
      <w:r>
        <w:rPr>
          <w:rFonts w:hint="eastAsia" w:hAnsi="宋体"/>
          <w:color w:val="auto"/>
          <w:sz w:val="21"/>
          <w:szCs w:val="24"/>
          <w:highlight w:val="none"/>
        </w:rPr>
        <w:t>（1）用于安装、调试、试运行、运行所供设备维修的专用工具、试验设备和材料及运行维护人员的安全装置等。</w:t>
      </w:r>
    </w:p>
    <w:p>
      <w:pPr>
        <w:overflowPunct w:val="0"/>
        <w:snapToGrid w:val="0"/>
        <w:ind w:firstLine="420" w:firstLineChars="200"/>
        <w:rPr>
          <w:rFonts w:hAnsi="宋体"/>
          <w:color w:val="auto"/>
          <w:sz w:val="21"/>
          <w:szCs w:val="24"/>
          <w:highlight w:val="none"/>
        </w:rPr>
      </w:pPr>
      <w:r>
        <w:rPr>
          <w:rFonts w:hint="eastAsia" w:hAnsi="宋体"/>
          <w:color w:val="auto"/>
          <w:sz w:val="21"/>
          <w:szCs w:val="24"/>
          <w:highlight w:val="none"/>
        </w:rPr>
        <w:t>（2）用于质保期内的备品备件和消耗品（质保责任期</w:t>
      </w:r>
      <w:r>
        <w:rPr>
          <w:rFonts w:hAnsi="宋体"/>
          <w:color w:val="auto"/>
          <w:sz w:val="21"/>
          <w:szCs w:val="24"/>
          <w:highlight w:val="none"/>
        </w:rPr>
        <w:t>末</w:t>
      </w:r>
      <w:r>
        <w:rPr>
          <w:rFonts w:hint="eastAsia" w:hAnsi="宋体"/>
          <w:color w:val="auto"/>
          <w:sz w:val="21"/>
          <w:szCs w:val="24"/>
          <w:highlight w:val="none"/>
        </w:rPr>
        <w:t>投标方</w:t>
      </w:r>
      <w:r>
        <w:rPr>
          <w:rFonts w:hAnsi="宋体"/>
          <w:color w:val="auto"/>
          <w:sz w:val="21"/>
          <w:szCs w:val="24"/>
          <w:highlight w:val="none"/>
        </w:rPr>
        <w:t>对所有消耗掉的备品备件和易耗部件全面补足</w:t>
      </w:r>
      <w:r>
        <w:rPr>
          <w:rFonts w:hint="eastAsia" w:hAnsi="宋体"/>
          <w:color w:val="auto"/>
          <w:sz w:val="21"/>
          <w:szCs w:val="24"/>
          <w:highlight w:val="none"/>
        </w:rPr>
        <w:t>）。提供推荐的清单和单价。</w:t>
      </w:r>
    </w:p>
    <w:p>
      <w:pPr>
        <w:overflowPunct w:val="0"/>
        <w:snapToGrid w:val="0"/>
        <w:ind w:firstLine="420" w:firstLineChars="200"/>
        <w:rPr>
          <w:rFonts w:hAnsi="宋体"/>
          <w:color w:val="auto"/>
          <w:sz w:val="21"/>
          <w:szCs w:val="24"/>
          <w:highlight w:val="none"/>
        </w:rPr>
      </w:pPr>
      <w:r>
        <w:rPr>
          <w:rFonts w:hint="eastAsia" w:hAnsi="宋体"/>
          <w:color w:val="auto"/>
          <w:sz w:val="21"/>
          <w:szCs w:val="24"/>
          <w:highlight w:val="none"/>
        </w:rPr>
        <w:t>（3）提供逆变器设备施工安装、调试、运行、维护所需要的全部技术文件资料、图纸。</w:t>
      </w:r>
    </w:p>
    <w:p>
      <w:pPr>
        <w:tabs>
          <w:tab w:val="left" w:pos="1544"/>
        </w:tabs>
        <w:snapToGrid w:val="0"/>
        <w:ind w:firstLine="420" w:firstLineChars="200"/>
        <w:rPr>
          <w:rFonts w:hAnsi="宋体"/>
          <w:color w:val="auto"/>
          <w:sz w:val="21"/>
          <w:szCs w:val="24"/>
          <w:highlight w:val="none"/>
        </w:rPr>
      </w:pPr>
      <w:r>
        <w:rPr>
          <w:rFonts w:hint="eastAsia" w:hAnsi="宋体"/>
          <w:color w:val="auto"/>
          <w:sz w:val="21"/>
          <w:szCs w:val="24"/>
          <w:highlight w:val="none"/>
        </w:rPr>
        <w:t>（4）提供逆变器安装指导、调试等技术服务，以及运行人员的培训、保修期内的计划和非计划维修和保养等。</w:t>
      </w:r>
    </w:p>
    <w:p>
      <w:pPr>
        <w:tabs>
          <w:tab w:val="left" w:pos="1544"/>
        </w:tabs>
        <w:snapToGrid w:val="0"/>
        <w:ind w:firstLine="420" w:firstLineChars="200"/>
        <w:rPr>
          <w:rFonts w:hAnsi="宋体"/>
          <w:color w:val="auto"/>
          <w:sz w:val="21"/>
          <w:szCs w:val="24"/>
          <w:highlight w:val="none"/>
        </w:rPr>
      </w:pPr>
      <w:r>
        <w:rPr>
          <w:rFonts w:hint="eastAsia" w:hAnsi="宋体"/>
          <w:color w:val="auto"/>
          <w:sz w:val="21"/>
          <w:szCs w:val="24"/>
          <w:highlight w:val="none"/>
        </w:rPr>
        <w:t>逆变器至箱式变压器的低压电缆、箱式变压器由招标方购买。但投标方必须提供低压电缆和光缆型号规格等技术要求，电缆和光缆的安装施工技术要求由投标方负责提供，投标方方还应提供电气接口部分的技术特性和质量保证措施。</w:t>
      </w:r>
    </w:p>
    <w:p>
      <w:pPr>
        <w:pStyle w:val="5"/>
        <w:spacing w:beforeLines="50" w:afterLines="50"/>
        <w:rPr>
          <w:rFonts w:cs="宋体"/>
          <w:color w:val="auto"/>
          <w:sz w:val="21"/>
          <w:szCs w:val="21"/>
          <w:highlight w:val="none"/>
        </w:rPr>
      </w:pPr>
      <w:bookmarkStart w:id="639" w:name="_Toc91247591"/>
      <w:r>
        <w:rPr>
          <w:rFonts w:hint="eastAsia"/>
          <w:color w:val="auto"/>
          <w:sz w:val="21"/>
          <w:szCs w:val="21"/>
          <w:highlight w:val="none"/>
        </w:rPr>
        <w:t>表1</w:t>
      </w:r>
      <w:r>
        <w:rPr>
          <w:color w:val="auto"/>
          <w:sz w:val="21"/>
          <w:szCs w:val="21"/>
          <w:highlight w:val="none"/>
        </w:rPr>
        <w:t xml:space="preserve">   </w:t>
      </w:r>
      <w:r>
        <w:rPr>
          <w:rFonts w:hint="eastAsia"/>
          <w:color w:val="auto"/>
          <w:sz w:val="21"/>
          <w:szCs w:val="21"/>
          <w:highlight w:val="none"/>
        </w:rPr>
        <w:t>供货范围清单：</w:t>
      </w:r>
      <w:bookmarkEnd w:id="639"/>
    </w:p>
    <w:tbl>
      <w:tblPr>
        <w:tblStyle w:val="34"/>
        <w:tblW w:w="5000" w:type="pct"/>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autofit"/>
        <w:tblCellMar>
          <w:top w:w="0" w:type="dxa"/>
          <w:left w:w="107" w:type="dxa"/>
          <w:bottom w:w="0" w:type="dxa"/>
          <w:right w:w="107" w:type="dxa"/>
        </w:tblCellMar>
      </w:tblPr>
      <w:tblGrid>
        <w:gridCol w:w="674"/>
        <w:gridCol w:w="1973"/>
        <w:gridCol w:w="1787"/>
        <w:gridCol w:w="643"/>
        <w:gridCol w:w="699"/>
        <w:gridCol w:w="2751"/>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7" w:type="dxa"/>
            <w:bottom w:w="0" w:type="dxa"/>
            <w:right w:w="107" w:type="dxa"/>
          </w:tblCellMar>
        </w:tblPrEx>
        <w:trPr>
          <w:cantSplit/>
          <w:tblHeader/>
          <w:jc w:val="center"/>
        </w:trPr>
        <w:tc>
          <w:tcPr>
            <w:tcW w:w="395"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编号</w:t>
            </w:r>
          </w:p>
        </w:tc>
        <w:tc>
          <w:tcPr>
            <w:tcW w:w="1157"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设备名称</w:t>
            </w:r>
          </w:p>
        </w:tc>
        <w:tc>
          <w:tcPr>
            <w:tcW w:w="1048"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型号规格</w:t>
            </w:r>
          </w:p>
        </w:tc>
        <w:tc>
          <w:tcPr>
            <w:tcW w:w="377"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数量</w:t>
            </w:r>
          </w:p>
        </w:tc>
        <w:tc>
          <w:tcPr>
            <w:tcW w:w="410"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单位</w:t>
            </w:r>
          </w:p>
        </w:tc>
        <w:tc>
          <w:tcPr>
            <w:tcW w:w="1613"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7" w:type="dxa"/>
            <w:bottom w:w="0" w:type="dxa"/>
            <w:right w:w="107" w:type="dxa"/>
          </w:tblCellMar>
        </w:tblPrEx>
        <w:trPr>
          <w:cantSplit/>
          <w:trHeight w:val="465" w:hRule="atLeast"/>
          <w:jc w:val="center"/>
        </w:trPr>
        <w:tc>
          <w:tcPr>
            <w:tcW w:w="395"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1</w:t>
            </w:r>
          </w:p>
        </w:tc>
        <w:tc>
          <w:tcPr>
            <w:tcW w:w="1157" w:type="pct"/>
            <w:vAlign w:val="center"/>
          </w:tcPr>
          <w:p>
            <w:pPr>
              <w:snapToGrid w:val="0"/>
              <w:spacing w:line="240" w:lineRule="auto"/>
              <w:rPr>
                <w:color w:val="auto"/>
                <w:sz w:val="21"/>
                <w:szCs w:val="21"/>
                <w:highlight w:val="none"/>
              </w:rPr>
            </w:pPr>
            <w:r>
              <w:rPr>
                <w:color w:val="auto"/>
                <w:sz w:val="21"/>
                <w:szCs w:val="21"/>
                <w:highlight w:val="none"/>
              </w:rPr>
              <w:t>组串式逆变器</w:t>
            </w:r>
          </w:p>
        </w:tc>
        <w:tc>
          <w:tcPr>
            <w:tcW w:w="1048" w:type="pct"/>
            <w:vAlign w:val="center"/>
          </w:tcPr>
          <w:p>
            <w:pPr>
              <w:snapToGrid w:val="0"/>
              <w:spacing w:line="240" w:lineRule="auto"/>
              <w:jc w:val="left"/>
              <w:rPr>
                <w:color w:val="auto"/>
                <w:sz w:val="21"/>
                <w:szCs w:val="21"/>
                <w:highlight w:val="none"/>
              </w:rPr>
            </w:pPr>
            <w:r>
              <w:rPr>
                <w:rFonts w:hint="eastAsia"/>
                <w:color w:val="auto"/>
                <w:sz w:val="21"/>
                <w:szCs w:val="21"/>
                <w:highlight w:val="none"/>
              </w:rPr>
              <w:t>DC1</w:t>
            </w:r>
            <w:r>
              <w:rPr>
                <w:color w:val="auto"/>
                <w:sz w:val="21"/>
                <w:szCs w:val="21"/>
                <w:highlight w:val="none"/>
              </w:rPr>
              <w:t>500</w:t>
            </w:r>
            <w:r>
              <w:rPr>
                <w:rFonts w:hint="eastAsia"/>
                <w:color w:val="auto"/>
                <w:sz w:val="21"/>
                <w:szCs w:val="21"/>
                <w:highlight w:val="none"/>
              </w:rPr>
              <w:t>V，每2~</w:t>
            </w:r>
            <w:r>
              <w:rPr>
                <w:color w:val="auto"/>
                <w:sz w:val="21"/>
                <w:szCs w:val="21"/>
                <w:highlight w:val="none"/>
              </w:rPr>
              <w:t>5</w:t>
            </w:r>
            <w:r>
              <w:rPr>
                <w:rFonts w:hint="eastAsia"/>
                <w:color w:val="auto"/>
                <w:sz w:val="21"/>
                <w:szCs w:val="21"/>
                <w:highlight w:val="none"/>
              </w:rPr>
              <w:t>串为一个MPPT，具备防PID功能，输出电压AC</w:t>
            </w:r>
            <w:r>
              <w:rPr>
                <w:color w:val="auto"/>
                <w:sz w:val="21"/>
                <w:szCs w:val="21"/>
                <w:highlight w:val="none"/>
              </w:rPr>
              <w:t>800</w:t>
            </w:r>
            <w:r>
              <w:rPr>
                <w:rFonts w:hint="eastAsia"/>
                <w:color w:val="auto"/>
                <w:sz w:val="21"/>
                <w:szCs w:val="21"/>
                <w:highlight w:val="none"/>
              </w:rPr>
              <w:t>V（暂定），PLC通讯；满足至少</w:t>
            </w:r>
            <w:r>
              <w:rPr>
                <w:color w:val="auto"/>
                <w:sz w:val="21"/>
                <w:szCs w:val="21"/>
                <w:highlight w:val="none"/>
              </w:rPr>
              <w:t>21210</w:t>
            </w:r>
            <w:r>
              <w:rPr>
                <w:rFonts w:hint="eastAsia"/>
                <w:color w:val="auto"/>
                <w:sz w:val="21"/>
                <w:szCs w:val="21"/>
                <w:highlight w:val="none"/>
              </w:rPr>
              <w:t>串双面光伏组件接入</w:t>
            </w:r>
          </w:p>
        </w:tc>
        <w:tc>
          <w:tcPr>
            <w:tcW w:w="377"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按需</w:t>
            </w:r>
          </w:p>
        </w:tc>
        <w:tc>
          <w:tcPr>
            <w:tcW w:w="410"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台</w:t>
            </w:r>
          </w:p>
        </w:tc>
        <w:tc>
          <w:tcPr>
            <w:tcW w:w="1613" w:type="pct"/>
            <w:vAlign w:val="center"/>
          </w:tcPr>
          <w:p>
            <w:pPr>
              <w:widowControl/>
              <w:spacing w:line="240" w:lineRule="auto"/>
              <w:rPr>
                <w:color w:val="auto"/>
                <w:sz w:val="21"/>
                <w:szCs w:val="21"/>
                <w:highlight w:val="none"/>
              </w:rPr>
            </w:pPr>
            <w:r>
              <w:rPr>
                <w:rFonts w:hint="eastAsia"/>
                <w:color w:val="auto"/>
                <w:sz w:val="21"/>
                <w:szCs w:val="21"/>
                <w:highlight w:val="none"/>
              </w:rPr>
              <w:t>组件为2</w:t>
            </w:r>
            <w:r>
              <w:rPr>
                <w:color w:val="auto"/>
                <w:sz w:val="21"/>
                <w:szCs w:val="21"/>
                <w:highlight w:val="none"/>
              </w:rPr>
              <w:t>10</w:t>
            </w:r>
            <w:r>
              <w:rPr>
                <w:rFonts w:hint="eastAsia"/>
                <w:color w:val="auto"/>
                <w:sz w:val="21"/>
                <w:szCs w:val="21"/>
                <w:highlight w:val="none"/>
              </w:rPr>
              <w:t>电池片</w:t>
            </w:r>
            <w:r>
              <w:rPr>
                <w:color w:val="auto"/>
                <w:sz w:val="21"/>
                <w:szCs w:val="21"/>
                <w:highlight w:val="none"/>
              </w:rPr>
              <w:t>650</w:t>
            </w:r>
            <w:r>
              <w:rPr>
                <w:rFonts w:hint="eastAsia"/>
                <w:color w:val="auto"/>
                <w:sz w:val="21"/>
                <w:szCs w:val="21"/>
                <w:highlight w:val="none"/>
              </w:rPr>
              <w:t>Wp双面双玻组件，共</w:t>
            </w:r>
            <w:r>
              <w:rPr>
                <w:color w:val="auto"/>
                <w:sz w:val="21"/>
                <w:szCs w:val="21"/>
                <w:highlight w:val="none"/>
              </w:rPr>
              <w:t>636300块；总容量为413.595MWp</w:t>
            </w:r>
            <w:r>
              <w:rPr>
                <w:rFonts w:hint="eastAsia"/>
                <w:color w:val="auto"/>
                <w:sz w:val="21"/>
                <w:szCs w:val="21"/>
                <w:highlight w:val="none"/>
              </w:rPr>
              <w:t>，请按照组件布置数量合理配置逆变器台数。</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7" w:type="dxa"/>
            <w:bottom w:w="0" w:type="dxa"/>
            <w:right w:w="107" w:type="dxa"/>
          </w:tblCellMar>
        </w:tblPrEx>
        <w:trPr>
          <w:cantSplit/>
          <w:trHeight w:val="465" w:hRule="atLeast"/>
          <w:jc w:val="center"/>
        </w:trPr>
        <w:tc>
          <w:tcPr>
            <w:tcW w:w="395" w:type="pct"/>
            <w:vAlign w:val="center"/>
          </w:tcPr>
          <w:p>
            <w:pPr>
              <w:snapToGrid w:val="0"/>
              <w:spacing w:line="240" w:lineRule="auto"/>
              <w:jc w:val="center"/>
              <w:rPr>
                <w:color w:val="auto"/>
                <w:sz w:val="21"/>
                <w:szCs w:val="21"/>
                <w:highlight w:val="none"/>
              </w:rPr>
            </w:pPr>
            <w:r>
              <w:rPr>
                <w:color w:val="auto"/>
                <w:sz w:val="21"/>
                <w:szCs w:val="21"/>
                <w:highlight w:val="none"/>
              </w:rPr>
              <w:t>2</w:t>
            </w:r>
          </w:p>
        </w:tc>
        <w:tc>
          <w:tcPr>
            <w:tcW w:w="1157" w:type="pct"/>
            <w:vAlign w:val="center"/>
          </w:tcPr>
          <w:p>
            <w:pPr>
              <w:snapToGrid w:val="0"/>
              <w:spacing w:line="240" w:lineRule="auto"/>
              <w:rPr>
                <w:color w:val="auto"/>
                <w:sz w:val="21"/>
                <w:szCs w:val="21"/>
                <w:highlight w:val="none"/>
              </w:rPr>
            </w:pPr>
            <w:r>
              <w:rPr>
                <w:color w:val="auto"/>
                <w:sz w:val="21"/>
                <w:szCs w:val="21"/>
                <w:highlight w:val="none"/>
              </w:rPr>
              <w:t>组串式逆变器</w:t>
            </w:r>
          </w:p>
        </w:tc>
        <w:tc>
          <w:tcPr>
            <w:tcW w:w="1048" w:type="pct"/>
            <w:vAlign w:val="center"/>
          </w:tcPr>
          <w:p>
            <w:pPr>
              <w:snapToGrid w:val="0"/>
              <w:spacing w:line="240" w:lineRule="auto"/>
              <w:jc w:val="left"/>
              <w:rPr>
                <w:color w:val="auto"/>
                <w:sz w:val="21"/>
                <w:szCs w:val="21"/>
                <w:highlight w:val="none"/>
              </w:rPr>
            </w:pPr>
            <w:r>
              <w:rPr>
                <w:rFonts w:hint="eastAsia"/>
                <w:color w:val="auto"/>
                <w:sz w:val="21"/>
                <w:szCs w:val="21"/>
                <w:highlight w:val="none"/>
              </w:rPr>
              <w:t>DC1</w:t>
            </w:r>
            <w:r>
              <w:rPr>
                <w:color w:val="auto"/>
                <w:sz w:val="21"/>
                <w:szCs w:val="21"/>
                <w:highlight w:val="none"/>
              </w:rPr>
              <w:t>500</w:t>
            </w:r>
            <w:r>
              <w:rPr>
                <w:rFonts w:hint="eastAsia"/>
                <w:color w:val="auto"/>
                <w:sz w:val="21"/>
                <w:szCs w:val="21"/>
                <w:highlight w:val="none"/>
              </w:rPr>
              <w:t>V，每2~</w:t>
            </w:r>
            <w:r>
              <w:rPr>
                <w:color w:val="auto"/>
                <w:sz w:val="21"/>
                <w:szCs w:val="21"/>
                <w:highlight w:val="none"/>
              </w:rPr>
              <w:t>5</w:t>
            </w:r>
            <w:r>
              <w:rPr>
                <w:rFonts w:hint="eastAsia"/>
                <w:color w:val="auto"/>
                <w:sz w:val="21"/>
                <w:szCs w:val="21"/>
                <w:highlight w:val="none"/>
              </w:rPr>
              <w:t>串为一个MPPT，具备防PID功能，输出电压AC</w:t>
            </w:r>
            <w:r>
              <w:rPr>
                <w:color w:val="auto"/>
                <w:sz w:val="21"/>
                <w:szCs w:val="21"/>
                <w:highlight w:val="none"/>
              </w:rPr>
              <w:t>800</w:t>
            </w:r>
            <w:r>
              <w:rPr>
                <w:rFonts w:hint="eastAsia"/>
                <w:color w:val="auto"/>
                <w:sz w:val="21"/>
                <w:szCs w:val="21"/>
                <w:highlight w:val="none"/>
              </w:rPr>
              <w:t>V（暂定），PLC通讯；满足至少</w:t>
            </w:r>
            <w:r>
              <w:rPr>
                <w:color w:val="auto"/>
                <w:sz w:val="21"/>
                <w:szCs w:val="21"/>
                <w:highlight w:val="none"/>
              </w:rPr>
              <w:t>6720</w:t>
            </w:r>
            <w:r>
              <w:rPr>
                <w:rFonts w:hint="eastAsia"/>
                <w:color w:val="auto"/>
                <w:sz w:val="21"/>
                <w:szCs w:val="21"/>
                <w:highlight w:val="none"/>
              </w:rPr>
              <w:t>串双面光伏组件接入</w:t>
            </w:r>
          </w:p>
        </w:tc>
        <w:tc>
          <w:tcPr>
            <w:tcW w:w="377"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按需</w:t>
            </w:r>
          </w:p>
        </w:tc>
        <w:tc>
          <w:tcPr>
            <w:tcW w:w="410"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台</w:t>
            </w:r>
          </w:p>
        </w:tc>
        <w:tc>
          <w:tcPr>
            <w:tcW w:w="1613" w:type="pct"/>
            <w:vAlign w:val="center"/>
          </w:tcPr>
          <w:p>
            <w:pPr>
              <w:widowControl/>
              <w:spacing w:line="240" w:lineRule="auto"/>
              <w:rPr>
                <w:color w:val="auto"/>
                <w:sz w:val="21"/>
                <w:szCs w:val="21"/>
                <w:highlight w:val="none"/>
              </w:rPr>
            </w:pPr>
            <w:r>
              <w:rPr>
                <w:rFonts w:hint="eastAsia"/>
                <w:color w:val="auto"/>
                <w:sz w:val="21"/>
                <w:szCs w:val="21"/>
                <w:highlight w:val="none"/>
              </w:rPr>
              <w:t>组件为1</w:t>
            </w:r>
            <w:r>
              <w:rPr>
                <w:color w:val="auto"/>
                <w:sz w:val="21"/>
                <w:szCs w:val="21"/>
                <w:highlight w:val="none"/>
              </w:rPr>
              <w:t>82</w:t>
            </w:r>
            <w:r>
              <w:rPr>
                <w:rFonts w:hint="eastAsia"/>
                <w:color w:val="auto"/>
                <w:sz w:val="21"/>
                <w:szCs w:val="21"/>
                <w:highlight w:val="none"/>
              </w:rPr>
              <w:t>电池片</w:t>
            </w:r>
            <w:r>
              <w:rPr>
                <w:color w:val="auto"/>
                <w:sz w:val="21"/>
                <w:szCs w:val="21"/>
                <w:highlight w:val="none"/>
              </w:rPr>
              <w:t>570</w:t>
            </w:r>
            <w:r>
              <w:rPr>
                <w:rFonts w:hint="eastAsia"/>
                <w:color w:val="auto"/>
                <w:sz w:val="21"/>
                <w:szCs w:val="21"/>
                <w:highlight w:val="none"/>
              </w:rPr>
              <w:t>Wp双面双玻组件，共</w:t>
            </w:r>
            <w:r>
              <w:rPr>
                <w:color w:val="auto"/>
                <w:sz w:val="21"/>
                <w:szCs w:val="21"/>
                <w:highlight w:val="none"/>
              </w:rPr>
              <w:t>174720块；总容量为99.5904MWp</w:t>
            </w:r>
            <w:r>
              <w:rPr>
                <w:rFonts w:hint="eastAsia"/>
                <w:color w:val="auto"/>
                <w:sz w:val="21"/>
                <w:szCs w:val="21"/>
                <w:highlight w:val="none"/>
              </w:rPr>
              <w:t>，请按照组件布置数量合理配置逆变器台数。</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7" w:type="dxa"/>
            <w:bottom w:w="0" w:type="dxa"/>
            <w:right w:w="107" w:type="dxa"/>
          </w:tblCellMar>
        </w:tblPrEx>
        <w:trPr>
          <w:cantSplit/>
          <w:trHeight w:val="465" w:hRule="atLeast"/>
          <w:jc w:val="center"/>
        </w:trPr>
        <w:tc>
          <w:tcPr>
            <w:tcW w:w="395" w:type="pct"/>
            <w:vAlign w:val="center"/>
          </w:tcPr>
          <w:p>
            <w:pPr>
              <w:snapToGrid w:val="0"/>
              <w:spacing w:line="240" w:lineRule="auto"/>
              <w:jc w:val="center"/>
              <w:rPr>
                <w:color w:val="auto"/>
                <w:sz w:val="21"/>
                <w:szCs w:val="21"/>
                <w:highlight w:val="none"/>
              </w:rPr>
            </w:pPr>
            <w:r>
              <w:rPr>
                <w:color w:val="auto"/>
                <w:sz w:val="21"/>
                <w:szCs w:val="21"/>
                <w:highlight w:val="none"/>
              </w:rPr>
              <w:t>3</w:t>
            </w:r>
          </w:p>
        </w:tc>
        <w:tc>
          <w:tcPr>
            <w:tcW w:w="1157" w:type="pct"/>
            <w:vAlign w:val="center"/>
          </w:tcPr>
          <w:p>
            <w:pPr>
              <w:snapToGrid w:val="0"/>
              <w:spacing w:line="240" w:lineRule="auto"/>
              <w:rPr>
                <w:color w:val="auto"/>
                <w:sz w:val="21"/>
                <w:szCs w:val="21"/>
                <w:highlight w:val="none"/>
              </w:rPr>
            </w:pPr>
            <w:r>
              <w:rPr>
                <w:rFonts w:hint="eastAsia"/>
                <w:color w:val="auto"/>
                <w:sz w:val="21"/>
                <w:szCs w:val="21"/>
                <w:highlight w:val="none"/>
              </w:rPr>
              <w:t>智能</w:t>
            </w:r>
            <w:r>
              <w:rPr>
                <w:color w:val="auto"/>
                <w:sz w:val="21"/>
                <w:szCs w:val="21"/>
                <w:highlight w:val="none"/>
              </w:rPr>
              <w:t>通讯箱</w:t>
            </w:r>
          </w:p>
        </w:tc>
        <w:tc>
          <w:tcPr>
            <w:tcW w:w="1048" w:type="pct"/>
            <w:vAlign w:val="center"/>
          </w:tcPr>
          <w:p>
            <w:pPr>
              <w:snapToGrid w:val="0"/>
              <w:spacing w:line="240" w:lineRule="auto"/>
              <w:rPr>
                <w:color w:val="auto"/>
                <w:sz w:val="21"/>
                <w:szCs w:val="21"/>
                <w:highlight w:val="none"/>
              </w:rPr>
            </w:pPr>
            <w:r>
              <w:rPr>
                <w:rFonts w:hint="eastAsia"/>
                <w:color w:val="auto"/>
                <w:sz w:val="21"/>
                <w:szCs w:val="21"/>
                <w:highlight w:val="none"/>
              </w:rPr>
              <w:t>含数据采集器、PLC模块、PID模块等安装位置</w:t>
            </w:r>
          </w:p>
        </w:tc>
        <w:tc>
          <w:tcPr>
            <w:tcW w:w="377" w:type="pct"/>
            <w:vAlign w:val="center"/>
          </w:tcPr>
          <w:p>
            <w:pPr>
              <w:snapToGrid w:val="0"/>
              <w:spacing w:line="240" w:lineRule="auto"/>
              <w:jc w:val="center"/>
              <w:rPr>
                <w:color w:val="auto"/>
                <w:sz w:val="21"/>
                <w:szCs w:val="21"/>
                <w:highlight w:val="none"/>
              </w:rPr>
            </w:pPr>
            <w:r>
              <w:rPr>
                <w:color w:val="auto"/>
                <w:sz w:val="21"/>
                <w:szCs w:val="21"/>
                <w:highlight w:val="none"/>
              </w:rPr>
              <w:t>121</w:t>
            </w:r>
          </w:p>
        </w:tc>
        <w:tc>
          <w:tcPr>
            <w:tcW w:w="410"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台</w:t>
            </w:r>
          </w:p>
        </w:tc>
        <w:tc>
          <w:tcPr>
            <w:tcW w:w="1613" w:type="pct"/>
            <w:vAlign w:val="center"/>
          </w:tcPr>
          <w:p>
            <w:pPr>
              <w:snapToGrid w:val="0"/>
              <w:spacing w:line="240" w:lineRule="auto"/>
              <w:rPr>
                <w:color w:val="auto"/>
                <w:sz w:val="21"/>
                <w:szCs w:val="21"/>
                <w:highlight w:val="none"/>
              </w:rPr>
            </w:pPr>
            <w:r>
              <w:rPr>
                <w:rFonts w:hint="eastAsia"/>
                <w:color w:val="auto"/>
                <w:sz w:val="21"/>
                <w:szCs w:val="21"/>
                <w:highlight w:val="none"/>
              </w:rPr>
              <w:t>数量暂定，最终根据箱变数量调整，费用含在投标总价中。</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7" w:type="dxa"/>
            <w:bottom w:w="0" w:type="dxa"/>
            <w:right w:w="107" w:type="dxa"/>
          </w:tblCellMar>
        </w:tblPrEx>
        <w:trPr>
          <w:cantSplit/>
          <w:trHeight w:val="465" w:hRule="atLeast"/>
          <w:jc w:val="center"/>
        </w:trPr>
        <w:tc>
          <w:tcPr>
            <w:tcW w:w="395"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4</w:t>
            </w:r>
          </w:p>
        </w:tc>
        <w:tc>
          <w:tcPr>
            <w:tcW w:w="1157" w:type="pct"/>
            <w:vAlign w:val="center"/>
          </w:tcPr>
          <w:p>
            <w:pPr>
              <w:snapToGrid w:val="0"/>
              <w:spacing w:line="240" w:lineRule="auto"/>
              <w:rPr>
                <w:color w:val="auto"/>
                <w:sz w:val="21"/>
                <w:szCs w:val="21"/>
                <w:highlight w:val="none"/>
              </w:rPr>
            </w:pPr>
            <w:r>
              <w:rPr>
                <w:rFonts w:hint="eastAsia"/>
                <w:color w:val="auto"/>
                <w:sz w:val="21"/>
                <w:szCs w:val="21"/>
                <w:highlight w:val="none"/>
              </w:rPr>
              <w:t>站控管理系统</w:t>
            </w:r>
          </w:p>
        </w:tc>
        <w:tc>
          <w:tcPr>
            <w:tcW w:w="1048" w:type="pct"/>
            <w:vAlign w:val="center"/>
          </w:tcPr>
          <w:p>
            <w:pPr>
              <w:snapToGrid w:val="0"/>
              <w:spacing w:line="240" w:lineRule="auto"/>
              <w:rPr>
                <w:color w:val="auto"/>
                <w:sz w:val="21"/>
                <w:szCs w:val="21"/>
                <w:highlight w:val="none"/>
              </w:rPr>
            </w:pPr>
            <w:r>
              <w:rPr>
                <w:rFonts w:hint="eastAsia"/>
                <w:color w:val="auto"/>
                <w:sz w:val="21"/>
                <w:szCs w:val="21"/>
                <w:highlight w:val="none"/>
              </w:rPr>
              <w:t>搭建满足智慧运维要求的站控管理系统。</w:t>
            </w:r>
          </w:p>
        </w:tc>
        <w:tc>
          <w:tcPr>
            <w:tcW w:w="377"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1</w:t>
            </w:r>
          </w:p>
        </w:tc>
        <w:tc>
          <w:tcPr>
            <w:tcW w:w="410" w:type="pct"/>
            <w:vAlign w:val="center"/>
          </w:tcPr>
          <w:p>
            <w:pPr>
              <w:snapToGrid w:val="0"/>
              <w:spacing w:line="240" w:lineRule="auto"/>
              <w:jc w:val="center"/>
              <w:rPr>
                <w:color w:val="auto"/>
                <w:sz w:val="21"/>
                <w:szCs w:val="21"/>
                <w:highlight w:val="none"/>
              </w:rPr>
            </w:pPr>
            <w:r>
              <w:rPr>
                <w:rFonts w:hint="eastAsia"/>
                <w:color w:val="auto"/>
                <w:sz w:val="21"/>
                <w:szCs w:val="21"/>
                <w:highlight w:val="none"/>
              </w:rPr>
              <w:t>套</w:t>
            </w:r>
          </w:p>
        </w:tc>
        <w:tc>
          <w:tcPr>
            <w:tcW w:w="1613" w:type="pct"/>
            <w:vAlign w:val="center"/>
          </w:tcPr>
          <w:p>
            <w:pPr>
              <w:snapToGrid w:val="0"/>
              <w:spacing w:line="240" w:lineRule="auto"/>
              <w:rPr>
                <w:color w:val="auto"/>
                <w:sz w:val="21"/>
                <w:szCs w:val="21"/>
                <w:highlight w:val="none"/>
              </w:rPr>
            </w:pPr>
            <w:r>
              <w:rPr>
                <w:rFonts w:hint="eastAsia"/>
                <w:color w:val="auto"/>
                <w:sz w:val="21"/>
                <w:szCs w:val="21"/>
                <w:highlight w:val="none"/>
              </w:rPr>
              <w:t>包含系统所需软硬件设备（站控层），完成系统安装、调试等工作，包括光伏区箱变等电气设备信号的接入。含工作站、服务器、光纤交换机（满足光伏区至少20个光纤环网的接入）、防火墙、千兆纵向加密装置、光纤终端盒、屏柜及相关附件等。</w:t>
            </w:r>
          </w:p>
        </w:tc>
      </w:tr>
    </w:tbl>
    <w:p>
      <w:pPr>
        <w:pStyle w:val="75"/>
        <w:ind w:firstLine="420"/>
        <w:rPr>
          <w:rFonts w:ascii="宋体" w:cs="宋体"/>
          <w:color w:val="auto"/>
          <w:sz w:val="21"/>
          <w:szCs w:val="21"/>
          <w:highlight w:val="none"/>
        </w:rPr>
      </w:pPr>
      <w:r>
        <w:rPr>
          <w:rFonts w:hint="eastAsia" w:ascii="宋体" w:cs="宋体"/>
          <w:color w:val="auto"/>
          <w:sz w:val="21"/>
          <w:szCs w:val="21"/>
          <w:highlight w:val="none"/>
        </w:rPr>
        <w:t>注：1.逆变器接入串数为暂定值，最终施工图为准。</w:t>
      </w:r>
    </w:p>
    <w:p>
      <w:pPr>
        <w:pStyle w:val="75"/>
        <w:ind w:firstLine="420"/>
        <w:rPr>
          <w:rFonts w:ascii="宋体" w:cs="宋体"/>
          <w:color w:val="auto"/>
          <w:sz w:val="21"/>
          <w:szCs w:val="21"/>
          <w:highlight w:val="none"/>
        </w:rPr>
      </w:pPr>
      <w:r>
        <w:rPr>
          <w:rFonts w:hint="eastAsia" w:ascii="宋体" w:cs="宋体"/>
          <w:color w:val="auto"/>
          <w:sz w:val="21"/>
          <w:szCs w:val="21"/>
          <w:highlight w:val="none"/>
        </w:rPr>
        <w:t>2.箱变测控接入数据采集器，通讯协议待箱变厂家确定后确定，数据采集器通过纵向加密装置再经环网交换机通过光纤环网上传监控信息，应至少支持61850、103、104、modbus等常规通讯协议，方便与箱变测控和升压站电站监控系统、远动装置、AGC/AVC系统、一次调频系统等通讯，通信传输速率及逆变器调节应满足监控后台控制、AGC/AVC调节及一次调频等的需要。</w:t>
      </w:r>
      <w:r>
        <w:rPr>
          <w:rFonts w:hint="eastAsia" w:ascii="宋体" w:cs="宋体"/>
          <w:bCs/>
          <w:color w:val="auto"/>
          <w:sz w:val="21"/>
          <w:szCs w:val="21"/>
          <w:highlight w:val="none"/>
        </w:rPr>
        <w:t>站级管理系统采用61850、103、104、modbus等常规标准通讯协议。</w:t>
      </w:r>
    </w:p>
    <w:p>
      <w:pPr>
        <w:pStyle w:val="5"/>
        <w:spacing w:beforeLines="50" w:afterLines="50"/>
        <w:rPr>
          <w:color w:val="auto"/>
          <w:sz w:val="21"/>
          <w:szCs w:val="21"/>
          <w:highlight w:val="none"/>
        </w:rPr>
      </w:pPr>
      <w:bookmarkStart w:id="640" w:name="_Toc91247592"/>
      <w:r>
        <w:rPr>
          <w:rFonts w:hint="eastAsia"/>
          <w:color w:val="auto"/>
          <w:sz w:val="21"/>
          <w:szCs w:val="21"/>
          <w:highlight w:val="none"/>
        </w:rPr>
        <w:t xml:space="preserve">表2 </w:t>
      </w:r>
      <w:r>
        <w:rPr>
          <w:color w:val="auto"/>
          <w:sz w:val="21"/>
          <w:szCs w:val="21"/>
          <w:highlight w:val="none"/>
        </w:rPr>
        <w:t xml:space="preserve">  </w:t>
      </w:r>
      <w:r>
        <w:rPr>
          <w:rFonts w:hint="eastAsia"/>
          <w:color w:val="auto"/>
          <w:sz w:val="21"/>
          <w:szCs w:val="21"/>
          <w:highlight w:val="none"/>
        </w:rPr>
        <w:t>主要元器件分项表（单台逆变器）</w:t>
      </w:r>
      <w:bookmarkEnd w:id="640"/>
    </w:p>
    <w:tbl>
      <w:tblPr>
        <w:tblStyle w:val="34"/>
        <w:tblW w:w="908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788"/>
        <w:gridCol w:w="2410"/>
        <w:gridCol w:w="872"/>
        <w:gridCol w:w="850"/>
        <w:gridCol w:w="1985"/>
        <w:gridCol w:w="217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679" w:hRule="atLeast"/>
          <w:jc w:val="center"/>
        </w:trPr>
        <w:tc>
          <w:tcPr>
            <w:tcW w:w="788"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序号</w:t>
            </w:r>
          </w:p>
        </w:tc>
        <w:tc>
          <w:tcPr>
            <w:tcW w:w="2410"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部件名称</w:t>
            </w:r>
          </w:p>
        </w:tc>
        <w:tc>
          <w:tcPr>
            <w:tcW w:w="872"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单位</w:t>
            </w:r>
          </w:p>
        </w:tc>
        <w:tc>
          <w:tcPr>
            <w:tcW w:w="850"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数量</w:t>
            </w:r>
          </w:p>
        </w:tc>
        <w:tc>
          <w:tcPr>
            <w:tcW w:w="1985"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规格型号及精度</w:t>
            </w:r>
          </w:p>
        </w:tc>
        <w:tc>
          <w:tcPr>
            <w:tcW w:w="2176"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制造厂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86" w:hRule="atLeast"/>
          <w:jc w:val="center"/>
        </w:trPr>
        <w:tc>
          <w:tcPr>
            <w:tcW w:w="788"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1</w:t>
            </w:r>
          </w:p>
        </w:tc>
        <w:tc>
          <w:tcPr>
            <w:tcW w:w="2410"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IGBT/MOSFET</w:t>
            </w:r>
          </w:p>
        </w:tc>
        <w:tc>
          <w:tcPr>
            <w:tcW w:w="872"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组</w:t>
            </w:r>
          </w:p>
        </w:tc>
        <w:tc>
          <w:tcPr>
            <w:tcW w:w="850" w:type="dxa"/>
            <w:vAlign w:val="center"/>
          </w:tcPr>
          <w:p>
            <w:pPr>
              <w:spacing w:line="240" w:lineRule="auto"/>
              <w:jc w:val="center"/>
              <w:rPr>
                <w:rFonts w:hAnsi="宋体"/>
                <w:color w:val="auto"/>
                <w:sz w:val="21"/>
                <w:szCs w:val="24"/>
                <w:highlight w:val="none"/>
              </w:rPr>
            </w:pPr>
          </w:p>
        </w:tc>
        <w:tc>
          <w:tcPr>
            <w:tcW w:w="1985" w:type="dxa"/>
            <w:vAlign w:val="center"/>
          </w:tcPr>
          <w:p>
            <w:pPr>
              <w:spacing w:line="240" w:lineRule="auto"/>
              <w:jc w:val="center"/>
              <w:rPr>
                <w:rFonts w:hAnsi="宋体"/>
                <w:color w:val="auto"/>
                <w:sz w:val="21"/>
                <w:szCs w:val="24"/>
                <w:highlight w:val="none"/>
              </w:rPr>
            </w:pPr>
          </w:p>
        </w:tc>
        <w:tc>
          <w:tcPr>
            <w:tcW w:w="2176" w:type="dxa"/>
            <w:vAlign w:val="center"/>
          </w:tcPr>
          <w:p>
            <w:pPr>
              <w:spacing w:line="240" w:lineRule="auto"/>
              <w:jc w:val="center"/>
              <w:rPr>
                <w:rFonts w:hAnsi="宋体"/>
                <w:color w:val="auto"/>
                <w:sz w:val="21"/>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86" w:hRule="atLeast"/>
          <w:jc w:val="center"/>
        </w:trPr>
        <w:tc>
          <w:tcPr>
            <w:tcW w:w="788"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2</w:t>
            </w:r>
          </w:p>
        </w:tc>
        <w:tc>
          <w:tcPr>
            <w:tcW w:w="2410"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输出滤波电容</w:t>
            </w:r>
          </w:p>
        </w:tc>
        <w:tc>
          <w:tcPr>
            <w:tcW w:w="872"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套</w:t>
            </w:r>
          </w:p>
        </w:tc>
        <w:tc>
          <w:tcPr>
            <w:tcW w:w="850" w:type="dxa"/>
            <w:vAlign w:val="center"/>
          </w:tcPr>
          <w:p>
            <w:pPr>
              <w:spacing w:line="240" w:lineRule="auto"/>
              <w:jc w:val="center"/>
              <w:rPr>
                <w:rFonts w:hAnsi="宋体"/>
                <w:color w:val="auto"/>
                <w:sz w:val="21"/>
                <w:szCs w:val="24"/>
                <w:highlight w:val="none"/>
              </w:rPr>
            </w:pPr>
          </w:p>
        </w:tc>
        <w:tc>
          <w:tcPr>
            <w:tcW w:w="1985" w:type="dxa"/>
            <w:vAlign w:val="center"/>
          </w:tcPr>
          <w:p>
            <w:pPr>
              <w:spacing w:line="240" w:lineRule="auto"/>
              <w:jc w:val="center"/>
              <w:rPr>
                <w:rFonts w:hAnsi="宋体"/>
                <w:color w:val="auto"/>
                <w:sz w:val="21"/>
                <w:szCs w:val="24"/>
                <w:highlight w:val="none"/>
              </w:rPr>
            </w:pPr>
          </w:p>
        </w:tc>
        <w:tc>
          <w:tcPr>
            <w:tcW w:w="2176" w:type="dxa"/>
            <w:vAlign w:val="center"/>
          </w:tcPr>
          <w:p>
            <w:pPr>
              <w:spacing w:line="240" w:lineRule="auto"/>
              <w:jc w:val="center"/>
              <w:rPr>
                <w:rFonts w:hAnsi="宋体"/>
                <w:color w:val="auto"/>
                <w:sz w:val="21"/>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86" w:hRule="atLeast"/>
          <w:jc w:val="center"/>
        </w:trPr>
        <w:tc>
          <w:tcPr>
            <w:tcW w:w="788"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3</w:t>
            </w:r>
          </w:p>
        </w:tc>
        <w:tc>
          <w:tcPr>
            <w:tcW w:w="2410"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输出滤波电感</w:t>
            </w:r>
          </w:p>
        </w:tc>
        <w:tc>
          <w:tcPr>
            <w:tcW w:w="872"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只</w:t>
            </w:r>
          </w:p>
        </w:tc>
        <w:tc>
          <w:tcPr>
            <w:tcW w:w="850" w:type="dxa"/>
            <w:vAlign w:val="center"/>
          </w:tcPr>
          <w:p>
            <w:pPr>
              <w:spacing w:line="240" w:lineRule="auto"/>
              <w:jc w:val="center"/>
              <w:rPr>
                <w:rFonts w:hAnsi="宋体"/>
                <w:color w:val="auto"/>
                <w:sz w:val="21"/>
                <w:szCs w:val="24"/>
                <w:highlight w:val="none"/>
              </w:rPr>
            </w:pPr>
          </w:p>
        </w:tc>
        <w:tc>
          <w:tcPr>
            <w:tcW w:w="1985" w:type="dxa"/>
            <w:vAlign w:val="center"/>
          </w:tcPr>
          <w:p>
            <w:pPr>
              <w:spacing w:line="240" w:lineRule="auto"/>
              <w:jc w:val="center"/>
              <w:rPr>
                <w:rFonts w:hAnsi="宋体"/>
                <w:color w:val="auto"/>
                <w:sz w:val="21"/>
                <w:szCs w:val="24"/>
                <w:highlight w:val="none"/>
              </w:rPr>
            </w:pPr>
          </w:p>
        </w:tc>
        <w:tc>
          <w:tcPr>
            <w:tcW w:w="2176" w:type="dxa"/>
            <w:vAlign w:val="center"/>
          </w:tcPr>
          <w:p>
            <w:pPr>
              <w:spacing w:line="240" w:lineRule="auto"/>
              <w:jc w:val="center"/>
              <w:rPr>
                <w:rFonts w:hAnsi="宋体"/>
                <w:color w:val="auto"/>
                <w:sz w:val="21"/>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86" w:hRule="atLeast"/>
          <w:jc w:val="center"/>
        </w:trPr>
        <w:tc>
          <w:tcPr>
            <w:tcW w:w="788"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4</w:t>
            </w:r>
          </w:p>
        </w:tc>
        <w:tc>
          <w:tcPr>
            <w:tcW w:w="2410"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直流EMI模块</w:t>
            </w:r>
          </w:p>
        </w:tc>
        <w:tc>
          <w:tcPr>
            <w:tcW w:w="872"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只</w:t>
            </w:r>
          </w:p>
        </w:tc>
        <w:tc>
          <w:tcPr>
            <w:tcW w:w="850" w:type="dxa"/>
            <w:vAlign w:val="center"/>
          </w:tcPr>
          <w:p>
            <w:pPr>
              <w:spacing w:line="240" w:lineRule="auto"/>
              <w:jc w:val="center"/>
              <w:rPr>
                <w:rFonts w:hAnsi="宋体"/>
                <w:color w:val="auto"/>
                <w:sz w:val="21"/>
                <w:szCs w:val="24"/>
                <w:highlight w:val="none"/>
              </w:rPr>
            </w:pPr>
          </w:p>
        </w:tc>
        <w:tc>
          <w:tcPr>
            <w:tcW w:w="1985" w:type="dxa"/>
            <w:vAlign w:val="center"/>
          </w:tcPr>
          <w:p>
            <w:pPr>
              <w:spacing w:line="240" w:lineRule="auto"/>
              <w:jc w:val="center"/>
              <w:rPr>
                <w:rFonts w:hAnsi="宋体"/>
                <w:color w:val="auto"/>
                <w:sz w:val="21"/>
                <w:szCs w:val="24"/>
                <w:highlight w:val="none"/>
              </w:rPr>
            </w:pPr>
          </w:p>
        </w:tc>
        <w:tc>
          <w:tcPr>
            <w:tcW w:w="2176" w:type="dxa"/>
            <w:vAlign w:val="center"/>
          </w:tcPr>
          <w:p>
            <w:pPr>
              <w:spacing w:line="240" w:lineRule="auto"/>
              <w:jc w:val="center"/>
              <w:rPr>
                <w:rFonts w:hAnsi="宋体"/>
                <w:color w:val="auto"/>
                <w:sz w:val="21"/>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86" w:hRule="atLeast"/>
          <w:jc w:val="center"/>
        </w:trPr>
        <w:tc>
          <w:tcPr>
            <w:tcW w:w="788"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5</w:t>
            </w:r>
          </w:p>
        </w:tc>
        <w:tc>
          <w:tcPr>
            <w:tcW w:w="2410"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直流电流传感器</w:t>
            </w:r>
          </w:p>
        </w:tc>
        <w:tc>
          <w:tcPr>
            <w:tcW w:w="872"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套</w:t>
            </w:r>
          </w:p>
        </w:tc>
        <w:tc>
          <w:tcPr>
            <w:tcW w:w="850" w:type="dxa"/>
            <w:vAlign w:val="center"/>
          </w:tcPr>
          <w:p>
            <w:pPr>
              <w:spacing w:line="240" w:lineRule="auto"/>
              <w:jc w:val="center"/>
              <w:rPr>
                <w:rFonts w:hAnsi="宋体"/>
                <w:color w:val="auto"/>
                <w:sz w:val="21"/>
                <w:szCs w:val="24"/>
                <w:highlight w:val="none"/>
              </w:rPr>
            </w:pPr>
          </w:p>
        </w:tc>
        <w:tc>
          <w:tcPr>
            <w:tcW w:w="1985" w:type="dxa"/>
            <w:vAlign w:val="center"/>
          </w:tcPr>
          <w:p>
            <w:pPr>
              <w:spacing w:line="240" w:lineRule="auto"/>
              <w:jc w:val="center"/>
              <w:rPr>
                <w:rFonts w:hAnsi="宋体"/>
                <w:color w:val="auto"/>
                <w:sz w:val="21"/>
                <w:szCs w:val="24"/>
                <w:highlight w:val="none"/>
              </w:rPr>
            </w:pPr>
          </w:p>
        </w:tc>
        <w:tc>
          <w:tcPr>
            <w:tcW w:w="2176" w:type="dxa"/>
            <w:vAlign w:val="center"/>
          </w:tcPr>
          <w:p>
            <w:pPr>
              <w:spacing w:line="240" w:lineRule="auto"/>
              <w:jc w:val="center"/>
              <w:rPr>
                <w:rFonts w:hAnsi="宋体"/>
                <w:color w:val="auto"/>
                <w:sz w:val="21"/>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86" w:hRule="atLeast"/>
          <w:jc w:val="center"/>
        </w:trPr>
        <w:tc>
          <w:tcPr>
            <w:tcW w:w="788"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6</w:t>
            </w:r>
          </w:p>
        </w:tc>
        <w:tc>
          <w:tcPr>
            <w:tcW w:w="2410"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DSP</w:t>
            </w:r>
          </w:p>
        </w:tc>
        <w:tc>
          <w:tcPr>
            <w:tcW w:w="872"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只</w:t>
            </w:r>
          </w:p>
        </w:tc>
        <w:tc>
          <w:tcPr>
            <w:tcW w:w="850" w:type="dxa"/>
            <w:vAlign w:val="center"/>
          </w:tcPr>
          <w:p>
            <w:pPr>
              <w:spacing w:line="240" w:lineRule="auto"/>
              <w:jc w:val="center"/>
              <w:rPr>
                <w:rFonts w:hAnsi="宋体"/>
                <w:color w:val="auto"/>
                <w:sz w:val="21"/>
                <w:szCs w:val="24"/>
                <w:highlight w:val="none"/>
              </w:rPr>
            </w:pPr>
          </w:p>
        </w:tc>
        <w:tc>
          <w:tcPr>
            <w:tcW w:w="1985" w:type="dxa"/>
            <w:vAlign w:val="center"/>
          </w:tcPr>
          <w:p>
            <w:pPr>
              <w:spacing w:line="240" w:lineRule="auto"/>
              <w:jc w:val="center"/>
              <w:rPr>
                <w:rFonts w:hAnsi="宋体"/>
                <w:color w:val="auto"/>
                <w:sz w:val="21"/>
                <w:szCs w:val="24"/>
                <w:highlight w:val="none"/>
              </w:rPr>
            </w:pPr>
          </w:p>
        </w:tc>
        <w:tc>
          <w:tcPr>
            <w:tcW w:w="2176" w:type="dxa"/>
            <w:vAlign w:val="center"/>
          </w:tcPr>
          <w:p>
            <w:pPr>
              <w:spacing w:line="240" w:lineRule="auto"/>
              <w:jc w:val="center"/>
              <w:rPr>
                <w:rFonts w:hAnsi="宋体"/>
                <w:color w:val="auto"/>
                <w:sz w:val="21"/>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86" w:hRule="atLeast"/>
          <w:jc w:val="center"/>
        </w:trPr>
        <w:tc>
          <w:tcPr>
            <w:tcW w:w="788"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7</w:t>
            </w:r>
          </w:p>
        </w:tc>
        <w:tc>
          <w:tcPr>
            <w:tcW w:w="2410"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直流开关或保险</w:t>
            </w:r>
          </w:p>
        </w:tc>
        <w:tc>
          <w:tcPr>
            <w:tcW w:w="872"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只</w:t>
            </w:r>
          </w:p>
        </w:tc>
        <w:tc>
          <w:tcPr>
            <w:tcW w:w="850" w:type="dxa"/>
            <w:vAlign w:val="center"/>
          </w:tcPr>
          <w:p>
            <w:pPr>
              <w:spacing w:line="240" w:lineRule="auto"/>
              <w:jc w:val="center"/>
              <w:rPr>
                <w:rFonts w:hAnsi="宋体"/>
                <w:color w:val="auto"/>
                <w:sz w:val="21"/>
                <w:szCs w:val="24"/>
                <w:highlight w:val="none"/>
              </w:rPr>
            </w:pPr>
          </w:p>
        </w:tc>
        <w:tc>
          <w:tcPr>
            <w:tcW w:w="1985" w:type="dxa"/>
            <w:vAlign w:val="center"/>
          </w:tcPr>
          <w:p>
            <w:pPr>
              <w:spacing w:line="240" w:lineRule="auto"/>
              <w:jc w:val="center"/>
              <w:rPr>
                <w:rFonts w:hAnsi="宋体"/>
                <w:color w:val="auto"/>
                <w:sz w:val="21"/>
                <w:szCs w:val="24"/>
                <w:highlight w:val="none"/>
              </w:rPr>
            </w:pPr>
          </w:p>
        </w:tc>
        <w:tc>
          <w:tcPr>
            <w:tcW w:w="2176" w:type="dxa"/>
            <w:vAlign w:val="center"/>
          </w:tcPr>
          <w:p>
            <w:pPr>
              <w:spacing w:line="240" w:lineRule="auto"/>
              <w:jc w:val="center"/>
              <w:rPr>
                <w:rFonts w:hAnsi="宋体"/>
                <w:color w:val="auto"/>
                <w:sz w:val="21"/>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86" w:hRule="atLeast"/>
          <w:jc w:val="center"/>
        </w:trPr>
        <w:tc>
          <w:tcPr>
            <w:tcW w:w="788"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8</w:t>
            </w:r>
          </w:p>
        </w:tc>
        <w:tc>
          <w:tcPr>
            <w:tcW w:w="2410"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并网继电器</w:t>
            </w:r>
          </w:p>
        </w:tc>
        <w:tc>
          <w:tcPr>
            <w:tcW w:w="872"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只</w:t>
            </w:r>
          </w:p>
        </w:tc>
        <w:tc>
          <w:tcPr>
            <w:tcW w:w="850" w:type="dxa"/>
            <w:vAlign w:val="center"/>
          </w:tcPr>
          <w:p>
            <w:pPr>
              <w:spacing w:line="240" w:lineRule="auto"/>
              <w:jc w:val="center"/>
              <w:rPr>
                <w:rFonts w:hAnsi="宋体"/>
                <w:color w:val="auto"/>
                <w:sz w:val="21"/>
                <w:szCs w:val="24"/>
                <w:highlight w:val="none"/>
              </w:rPr>
            </w:pPr>
          </w:p>
        </w:tc>
        <w:tc>
          <w:tcPr>
            <w:tcW w:w="1985" w:type="dxa"/>
            <w:vAlign w:val="center"/>
          </w:tcPr>
          <w:p>
            <w:pPr>
              <w:spacing w:line="240" w:lineRule="auto"/>
              <w:jc w:val="center"/>
              <w:rPr>
                <w:rFonts w:hAnsi="宋体"/>
                <w:color w:val="auto"/>
                <w:sz w:val="21"/>
                <w:szCs w:val="24"/>
                <w:highlight w:val="none"/>
              </w:rPr>
            </w:pPr>
          </w:p>
        </w:tc>
        <w:tc>
          <w:tcPr>
            <w:tcW w:w="2176" w:type="dxa"/>
            <w:vAlign w:val="center"/>
          </w:tcPr>
          <w:p>
            <w:pPr>
              <w:spacing w:line="240" w:lineRule="auto"/>
              <w:jc w:val="center"/>
              <w:rPr>
                <w:rFonts w:hAnsi="宋体"/>
                <w:color w:val="auto"/>
                <w:sz w:val="21"/>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86" w:hRule="atLeast"/>
          <w:jc w:val="center"/>
        </w:trPr>
        <w:tc>
          <w:tcPr>
            <w:tcW w:w="788"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9</w:t>
            </w:r>
          </w:p>
        </w:tc>
        <w:tc>
          <w:tcPr>
            <w:tcW w:w="2410"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母线支撑电容</w:t>
            </w:r>
          </w:p>
        </w:tc>
        <w:tc>
          <w:tcPr>
            <w:tcW w:w="872"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套</w:t>
            </w:r>
          </w:p>
        </w:tc>
        <w:tc>
          <w:tcPr>
            <w:tcW w:w="850" w:type="dxa"/>
            <w:vAlign w:val="center"/>
          </w:tcPr>
          <w:p>
            <w:pPr>
              <w:spacing w:line="240" w:lineRule="auto"/>
              <w:jc w:val="center"/>
              <w:rPr>
                <w:rFonts w:hAnsi="宋体"/>
                <w:color w:val="auto"/>
                <w:sz w:val="21"/>
                <w:szCs w:val="24"/>
                <w:highlight w:val="none"/>
              </w:rPr>
            </w:pPr>
          </w:p>
        </w:tc>
        <w:tc>
          <w:tcPr>
            <w:tcW w:w="1985" w:type="dxa"/>
            <w:vAlign w:val="center"/>
          </w:tcPr>
          <w:p>
            <w:pPr>
              <w:spacing w:line="240" w:lineRule="auto"/>
              <w:jc w:val="center"/>
              <w:rPr>
                <w:rFonts w:hAnsi="宋体"/>
                <w:color w:val="auto"/>
                <w:sz w:val="21"/>
                <w:szCs w:val="24"/>
                <w:highlight w:val="none"/>
              </w:rPr>
            </w:pPr>
          </w:p>
        </w:tc>
        <w:tc>
          <w:tcPr>
            <w:tcW w:w="2176" w:type="dxa"/>
            <w:vAlign w:val="center"/>
          </w:tcPr>
          <w:p>
            <w:pPr>
              <w:spacing w:line="240" w:lineRule="auto"/>
              <w:jc w:val="center"/>
              <w:rPr>
                <w:rFonts w:hAnsi="宋体"/>
                <w:color w:val="auto"/>
                <w:sz w:val="21"/>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86" w:hRule="atLeast"/>
          <w:jc w:val="center"/>
        </w:trPr>
        <w:tc>
          <w:tcPr>
            <w:tcW w:w="788"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10</w:t>
            </w:r>
          </w:p>
        </w:tc>
        <w:tc>
          <w:tcPr>
            <w:tcW w:w="2410"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冷却风机</w:t>
            </w:r>
          </w:p>
        </w:tc>
        <w:tc>
          <w:tcPr>
            <w:tcW w:w="872"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只</w:t>
            </w:r>
          </w:p>
        </w:tc>
        <w:tc>
          <w:tcPr>
            <w:tcW w:w="850" w:type="dxa"/>
            <w:vAlign w:val="center"/>
          </w:tcPr>
          <w:p>
            <w:pPr>
              <w:spacing w:line="240" w:lineRule="auto"/>
              <w:jc w:val="center"/>
              <w:rPr>
                <w:rFonts w:hAnsi="宋体"/>
                <w:color w:val="auto"/>
                <w:sz w:val="21"/>
                <w:szCs w:val="24"/>
                <w:highlight w:val="none"/>
              </w:rPr>
            </w:pPr>
          </w:p>
        </w:tc>
        <w:tc>
          <w:tcPr>
            <w:tcW w:w="1985" w:type="dxa"/>
            <w:vAlign w:val="center"/>
          </w:tcPr>
          <w:p>
            <w:pPr>
              <w:spacing w:line="240" w:lineRule="auto"/>
              <w:jc w:val="center"/>
              <w:rPr>
                <w:rFonts w:hAnsi="宋体"/>
                <w:color w:val="auto"/>
                <w:sz w:val="21"/>
                <w:szCs w:val="24"/>
                <w:highlight w:val="none"/>
              </w:rPr>
            </w:pPr>
          </w:p>
        </w:tc>
        <w:tc>
          <w:tcPr>
            <w:tcW w:w="2176" w:type="dxa"/>
            <w:vAlign w:val="center"/>
          </w:tcPr>
          <w:p>
            <w:pPr>
              <w:spacing w:line="240" w:lineRule="auto"/>
              <w:jc w:val="center"/>
              <w:rPr>
                <w:rFonts w:hAnsi="宋体"/>
                <w:color w:val="auto"/>
                <w:sz w:val="21"/>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86" w:hRule="atLeast"/>
          <w:jc w:val="center"/>
        </w:trPr>
        <w:tc>
          <w:tcPr>
            <w:tcW w:w="788"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11</w:t>
            </w:r>
          </w:p>
        </w:tc>
        <w:tc>
          <w:tcPr>
            <w:tcW w:w="2410"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直流防雷模块</w:t>
            </w:r>
          </w:p>
        </w:tc>
        <w:tc>
          <w:tcPr>
            <w:tcW w:w="872"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只</w:t>
            </w:r>
          </w:p>
        </w:tc>
        <w:tc>
          <w:tcPr>
            <w:tcW w:w="850" w:type="dxa"/>
            <w:vAlign w:val="center"/>
          </w:tcPr>
          <w:p>
            <w:pPr>
              <w:spacing w:line="240" w:lineRule="auto"/>
              <w:jc w:val="center"/>
              <w:rPr>
                <w:rFonts w:hAnsi="宋体"/>
                <w:color w:val="auto"/>
                <w:sz w:val="21"/>
                <w:szCs w:val="24"/>
                <w:highlight w:val="none"/>
              </w:rPr>
            </w:pPr>
          </w:p>
        </w:tc>
        <w:tc>
          <w:tcPr>
            <w:tcW w:w="1985" w:type="dxa"/>
            <w:vAlign w:val="center"/>
          </w:tcPr>
          <w:p>
            <w:pPr>
              <w:spacing w:line="240" w:lineRule="auto"/>
              <w:jc w:val="center"/>
              <w:rPr>
                <w:rFonts w:hAnsi="宋体"/>
                <w:color w:val="auto"/>
                <w:sz w:val="21"/>
                <w:szCs w:val="24"/>
                <w:highlight w:val="none"/>
              </w:rPr>
            </w:pPr>
          </w:p>
        </w:tc>
        <w:tc>
          <w:tcPr>
            <w:tcW w:w="2176" w:type="dxa"/>
            <w:vAlign w:val="center"/>
          </w:tcPr>
          <w:p>
            <w:pPr>
              <w:spacing w:line="240" w:lineRule="auto"/>
              <w:jc w:val="center"/>
              <w:rPr>
                <w:rFonts w:hAnsi="宋体"/>
                <w:color w:val="auto"/>
                <w:sz w:val="21"/>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86" w:hRule="atLeast"/>
          <w:jc w:val="center"/>
        </w:trPr>
        <w:tc>
          <w:tcPr>
            <w:tcW w:w="788"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12</w:t>
            </w:r>
          </w:p>
        </w:tc>
        <w:tc>
          <w:tcPr>
            <w:tcW w:w="2410"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交流</w:t>
            </w:r>
            <w:r>
              <w:rPr>
                <w:rFonts w:hAnsi="宋体"/>
                <w:color w:val="auto"/>
                <w:sz w:val="21"/>
                <w:szCs w:val="24"/>
                <w:highlight w:val="none"/>
              </w:rPr>
              <w:t>防雷模块</w:t>
            </w:r>
          </w:p>
        </w:tc>
        <w:tc>
          <w:tcPr>
            <w:tcW w:w="872" w:type="dxa"/>
            <w:vAlign w:val="center"/>
          </w:tcPr>
          <w:p>
            <w:pPr>
              <w:spacing w:line="240" w:lineRule="auto"/>
              <w:jc w:val="center"/>
              <w:rPr>
                <w:rFonts w:hAnsi="宋体"/>
                <w:color w:val="auto"/>
                <w:sz w:val="21"/>
                <w:szCs w:val="24"/>
                <w:highlight w:val="none"/>
              </w:rPr>
            </w:pPr>
            <w:r>
              <w:rPr>
                <w:rFonts w:hint="eastAsia" w:hAnsi="宋体"/>
                <w:color w:val="auto"/>
                <w:sz w:val="21"/>
                <w:szCs w:val="24"/>
                <w:highlight w:val="none"/>
              </w:rPr>
              <w:t>只</w:t>
            </w:r>
          </w:p>
        </w:tc>
        <w:tc>
          <w:tcPr>
            <w:tcW w:w="850" w:type="dxa"/>
            <w:vAlign w:val="center"/>
          </w:tcPr>
          <w:p>
            <w:pPr>
              <w:spacing w:line="240" w:lineRule="auto"/>
              <w:jc w:val="center"/>
              <w:rPr>
                <w:rFonts w:hAnsi="宋体"/>
                <w:color w:val="auto"/>
                <w:sz w:val="21"/>
                <w:szCs w:val="24"/>
                <w:highlight w:val="none"/>
              </w:rPr>
            </w:pPr>
          </w:p>
        </w:tc>
        <w:tc>
          <w:tcPr>
            <w:tcW w:w="1985" w:type="dxa"/>
            <w:vAlign w:val="center"/>
          </w:tcPr>
          <w:p>
            <w:pPr>
              <w:spacing w:line="240" w:lineRule="auto"/>
              <w:jc w:val="center"/>
              <w:rPr>
                <w:rFonts w:ascii="微软雅黑" w:hAnsi="微软雅黑" w:eastAsia="微软雅黑"/>
                <w:color w:val="auto"/>
                <w:sz w:val="21"/>
                <w:szCs w:val="24"/>
                <w:highlight w:val="none"/>
              </w:rPr>
            </w:pPr>
          </w:p>
        </w:tc>
        <w:tc>
          <w:tcPr>
            <w:tcW w:w="2176" w:type="dxa"/>
            <w:vAlign w:val="center"/>
          </w:tcPr>
          <w:p>
            <w:pPr>
              <w:spacing w:line="240" w:lineRule="auto"/>
              <w:jc w:val="center"/>
              <w:rPr>
                <w:rFonts w:ascii="微软雅黑" w:hAnsi="微软雅黑" w:eastAsia="微软雅黑"/>
                <w:color w:val="auto"/>
                <w:sz w:val="21"/>
                <w:szCs w:val="24"/>
                <w:highlight w:val="none"/>
              </w:rPr>
            </w:pPr>
          </w:p>
        </w:tc>
      </w:tr>
    </w:tbl>
    <w:p>
      <w:pPr>
        <w:snapToGrid w:val="0"/>
        <w:rPr>
          <w:rFonts w:ascii="宋体" w:hAnsi="宋体" w:cs="宋体"/>
          <w:color w:val="auto"/>
          <w:kern w:val="0"/>
          <w:szCs w:val="24"/>
          <w:highlight w:val="none"/>
        </w:rPr>
      </w:pPr>
    </w:p>
    <w:p>
      <w:pPr>
        <w:pStyle w:val="5"/>
        <w:spacing w:beforeLines="50" w:afterLines="50"/>
        <w:rPr>
          <w:color w:val="auto"/>
          <w:sz w:val="21"/>
          <w:szCs w:val="21"/>
          <w:highlight w:val="none"/>
        </w:rPr>
      </w:pPr>
      <w:bookmarkStart w:id="641" w:name="_Toc91247593"/>
      <w:r>
        <w:rPr>
          <w:rFonts w:hint="eastAsia"/>
          <w:color w:val="auto"/>
          <w:sz w:val="21"/>
          <w:szCs w:val="21"/>
          <w:highlight w:val="none"/>
        </w:rPr>
        <w:t>附表2   主要外购元器件清单</w:t>
      </w:r>
      <w:bookmarkEnd w:id="641"/>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282"/>
        <w:gridCol w:w="1417"/>
        <w:gridCol w:w="1104"/>
        <w:gridCol w:w="583"/>
        <w:gridCol w:w="668"/>
        <w:gridCol w:w="1058"/>
        <w:gridCol w:w="7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序号</w:t>
            </w:r>
          </w:p>
        </w:tc>
        <w:tc>
          <w:tcPr>
            <w:tcW w:w="2282"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设备或材料名称</w:t>
            </w:r>
          </w:p>
        </w:tc>
        <w:tc>
          <w:tcPr>
            <w:tcW w:w="1417"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规格型号</w:t>
            </w:r>
          </w:p>
        </w:tc>
        <w:tc>
          <w:tcPr>
            <w:tcW w:w="1104"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单位（台）</w:t>
            </w:r>
          </w:p>
        </w:tc>
        <w:tc>
          <w:tcPr>
            <w:tcW w:w="583"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数量</w:t>
            </w:r>
          </w:p>
        </w:tc>
        <w:tc>
          <w:tcPr>
            <w:tcW w:w="668"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产地</w:t>
            </w:r>
          </w:p>
        </w:tc>
        <w:tc>
          <w:tcPr>
            <w:tcW w:w="1058"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生产厂家</w:t>
            </w:r>
          </w:p>
        </w:tc>
        <w:tc>
          <w:tcPr>
            <w:tcW w:w="728"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1</w:t>
            </w:r>
          </w:p>
        </w:tc>
        <w:tc>
          <w:tcPr>
            <w:tcW w:w="2282" w:type="dxa"/>
            <w:vAlign w:val="center"/>
          </w:tcPr>
          <w:p>
            <w:pPr>
              <w:snapToGrid w:val="0"/>
              <w:rPr>
                <w:rFonts w:ascii="宋体" w:hAnsi="宋体" w:cs="宋体"/>
                <w:snapToGrid w:val="0"/>
                <w:color w:val="auto"/>
                <w:sz w:val="18"/>
                <w:szCs w:val="18"/>
                <w:highlight w:val="none"/>
              </w:rPr>
            </w:pPr>
          </w:p>
        </w:tc>
        <w:tc>
          <w:tcPr>
            <w:tcW w:w="1417" w:type="dxa"/>
            <w:vAlign w:val="center"/>
          </w:tcPr>
          <w:p>
            <w:pPr>
              <w:snapToGrid w:val="0"/>
              <w:jc w:val="center"/>
              <w:rPr>
                <w:rFonts w:ascii="宋体" w:hAnsi="宋体" w:cs="宋体"/>
                <w:snapToGrid w:val="0"/>
                <w:color w:val="auto"/>
                <w:sz w:val="18"/>
                <w:szCs w:val="18"/>
                <w:highlight w:val="none"/>
              </w:rPr>
            </w:pPr>
          </w:p>
        </w:tc>
        <w:tc>
          <w:tcPr>
            <w:tcW w:w="1104" w:type="dxa"/>
            <w:vAlign w:val="center"/>
          </w:tcPr>
          <w:p>
            <w:pPr>
              <w:snapToGrid w:val="0"/>
              <w:jc w:val="center"/>
              <w:rPr>
                <w:rFonts w:ascii="宋体" w:hAnsi="宋体" w:cs="宋体"/>
                <w:snapToGrid w:val="0"/>
                <w:color w:val="auto"/>
                <w:sz w:val="18"/>
                <w:szCs w:val="18"/>
                <w:highlight w:val="none"/>
              </w:rPr>
            </w:pPr>
          </w:p>
        </w:tc>
        <w:tc>
          <w:tcPr>
            <w:tcW w:w="583" w:type="dxa"/>
            <w:vAlign w:val="center"/>
          </w:tcPr>
          <w:p>
            <w:pPr>
              <w:snapToGrid w:val="0"/>
              <w:jc w:val="center"/>
              <w:rPr>
                <w:rFonts w:ascii="宋体" w:hAnsi="宋体" w:cs="宋体"/>
                <w:snapToGrid w:val="0"/>
                <w:color w:val="auto"/>
                <w:sz w:val="18"/>
                <w:szCs w:val="18"/>
                <w:highlight w:val="none"/>
              </w:rPr>
            </w:pPr>
          </w:p>
        </w:tc>
        <w:tc>
          <w:tcPr>
            <w:tcW w:w="668" w:type="dxa"/>
            <w:vAlign w:val="center"/>
          </w:tcPr>
          <w:p>
            <w:pPr>
              <w:snapToGrid w:val="0"/>
              <w:jc w:val="center"/>
              <w:rPr>
                <w:rFonts w:ascii="宋体" w:hAnsi="宋体" w:cs="宋体"/>
                <w:snapToGrid w:val="0"/>
                <w:color w:val="auto"/>
                <w:sz w:val="18"/>
                <w:szCs w:val="18"/>
                <w:highlight w:val="none"/>
              </w:rPr>
            </w:pPr>
          </w:p>
        </w:tc>
        <w:tc>
          <w:tcPr>
            <w:tcW w:w="1058" w:type="dxa"/>
            <w:vAlign w:val="center"/>
          </w:tcPr>
          <w:p>
            <w:pPr>
              <w:snapToGrid w:val="0"/>
              <w:rPr>
                <w:rFonts w:ascii="宋体" w:hAnsi="宋体" w:cs="宋体"/>
                <w:snapToGrid w:val="0"/>
                <w:color w:val="auto"/>
                <w:sz w:val="18"/>
                <w:szCs w:val="18"/>
                <w:highlight w:val="none"/>
              </w:rPr>
            </w:pPr>
          </w:p>
        </w:tc>
        <w:tc>
          <w:tcPr>
            <w:tcW w:w="728" w:type="dxa"/>
            <w:vAlign w:val="center"/>
          </w:tcPr>
          <w:p>
            <w:pPr>
              <w:snapToGrid w:val="0"/>
              <w:jc w:val="center"/>
              <w:rPr>
                <w:rFonts w:ascii="宋体" w:hAnsi="宋体" w:cs="宋体"/>
                <w:snapToGrid w:val="0"/>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2</w:t>
            </w:r>
          </w:p>
        </w:tc>
        <w:tc>
          <w:tcPr>
            <w:tcW w:w="2282" w:type="dxa"/>
            <w:vAlign w:val="center"/>
          </w:tcPr>
          <w:p>
            <w:pPr>
              <w:snapToGrid w:val="0"/>
              <w:rPr>
                <w:rFonts w:ascii="宋体" w:hAnsi="宋体" w:cs="宋体"/>
                <w:snapToGrid w:val="0"/>
                <w:color w:val="auto"/>
                <w:sz w:val="18"/>
                <w:szCs w:val="18"/>
                <w:highlight w:val="none"/>
              </w:rPr>
            </w:pPr>
          </w:p>
        </w:tc>
        <w:tc>
          <w:tcPr>
            <w:tcW w:w="1417" w:type="dxa"/>
            <w:vAlign w:val="center"/>
          </w:tcPr>
          <w:p>
            <w:pPr>
              <w:snapToGrid w:val="0"/>
              <w:jc w:val="center"/>
              <w:rPr>
                <w:rFonts w:ascii="宋体" w:hAnsi="宋体" w:cs="宋体"/>
                <w:snapToGrid w:val="0"/>
                <w:color w:val="auto"/>
                <w:sz w:val="18"/>
                <w:szCs w:val="18"/>
                <w:highlight w:val="none"/>
              </w:rPr>
            </w:pPr>
          </w:p>
        </w:tc>
        <w:tc>
          <w:tcPr>
            <w:tcW w:w="1104" w:type="dxa"/>
            <w:vAlign w:val="center"/>
          </w:tcPr>
          <w:p>
            <w:pPr>
              <w:snapToGrid w:val="0"/>
              <w:jc w:val="center"/>
              <w:rPr>
                <w:rFonts w:ascii="宋体" w:hAnsi="宋体" w:cs="宋体"/>
                <w:snapToGrid w:val="0"/>
                <w:color w:val="auto"/>
                <w:sz w:val="18"/>
                <w:szCs w:val="18"/>
                <w:highlight w:val="none"/>
              </w:rPr>
            </w:pPr>
          </w:p>
        </w:tc>
        <w:tc>
          <w:tcPr>
            <w:tcW w:w="583" w:type="dxa"/>
            <w:vAlign w:val="center"/>
          </w:tcPr>
          <w:p>
            <w:pPr>
              <w:snapToGrid w:val="0"/>
              <w:jc w:val="center"/>
              <w:rPr>
                <w:rFonts w:ascii="宋体" w:hAnsi="宋体" w:cs="宋体"/>
                <w:snapToGrid w:val="0"/>
                <w:color w:val="auto"/>
                <w:sz w:val="18"/>
                <w:szCs w:val="18"/>
                <w:highlight w:val="none"/>
              </w:rPr>
            </w:pPr>
          </w:p>
        </w:tc>
        <w:tc>
          <w:tcPr>
            <w:tcW w:w="668" w:type="dxa"/>
            <w:vAlign w:val="center"/>
          </w:tcPr>
          <w:p>
            <w:pPr>
              <w:snapToGrid w:val="0"/>
              <w:jc w:val="center"/>
              <w:rPr>
                <w:rFonts w:ascii="宋体" w:hAnsi="宋体" w:cs="宋体"/>
                <w:snapToGrid w:val="0"/>
                <w:color w:val="auto"/>
                <w:sz w:val="18"/>
                <w:szCs w:val="18"/>
                <w:highlight w:val="none"/>
              </w:rPr>
            </w:pPr>
          </w:p>
        </w:tc>
        <w:tc>
          <w:tcPr>
            <w:tcW w:w="1058" w:type="dxa"/>
            <w:vAlign w:val="center"/>
          </w:tcPr>
          <w:p>
            <w:pPr>
              <w:snapToGrid w:val="0"/>
              <w:rPr>
                <w:rFonts w:ascii="宋体" w:hAnsi="宋体" w:cs="宋体"/>
                <w:snapToGrid w:val="0"/>
                <w:color w:val="auto"/>
                <w:sz w:val="18"/>
                <w:szCs w:val="18"/>
                <w:highlight w:val="none"/>
              </w:rPr>
            </w:pPr>
          </w:p>
        </w:tc>
        <w:tc>
          <w:tcPr>
            <w:tcW w:w="728" w:type="dxa"/>
            <w:vAlign w:val="center"/>
          </w:tcPr>
          <w:p>
            <w:pPr>
              <w:snapToGrid w:val="0"/>
              <w:jc w:val="center"/>
              <w:rPr>
                <w:rFonts w:ascii="宋体" w:hAnsi="宋体" w:cs="宋体"/>
                <w:snapToGrid w:val="0"/>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3</w:t>
            </w:r>
          </w:p>
        </w:tc>
        <w:tc>
          <w:tcPr>
            <w:tcW w:w="2282" w:type="dxa"/>
            <w:vAlign w:val="center"/>
          </w:tcPr>
          <w:p>
            <w:pPr>
              <w:snapToGrid w:val="0"/>
              <w:rPr>
                <w:rFonts w:ascii="宋体" w:hAnsi="宋体" w:cs="宋体"/>
                <w:snapToGrid w:val="0"/>
                <w:color w:val="auto"/>
                <w:sz w:val="18"/>
                <w:szCs w:val="18"/>
                <w:highlight w:val="none"/>
              </w:rPr>
            </w:pPr>
          </w:p>
        </w:tc>
        <w:tc>
          <w:tcPr>
            <w:tcW w:w="1417" w:type="dxa"/>
            <w:vAlign w:val="center"/>
          </w:tcPr>
          <w:p>
            <w:pPr>
              <w:snapToGrid w:val="0"/>
              <w:jc w:val="center"/>
              <w:rPr>
                <w:rFonts w:ascii="宋体" w:hAnsi="宋体" w:cs="宋体"/>
                <w:snapToGrid w:val="0"/>
                <w:color w:val="auto"/>
                <w:sz w:val="18"/>
                <w:szCs w:val="18"/>
                <w:highlight w:val="none"/>
              </w:rPr>
            </w:pPr>
          </w:p>
        </w:tc>
        <w:tc>
          <w:tcPr>
            <w:tcW w:w="1104" w:type="dxa"/>
            <w:vAlign w:val="center"/>
          </w:tcPr>
          <w:p>
            <w:pPr>
              <w:snapToGrid w:val="0"/>
              <w:jc w:val="center"/>
              <w:rPr>
                <w:rFonts w:ascii="宋体" w:hAnsi="宋体" w:cs="宋体"/>
                <w:snapToGrid w:val="0"/>
                <w:color w:val="auto"/>
                <w:sz w:val="18"/>
                <w:szCs w:val="18"/>
                <w:highlight w:val="none"/>
              </w:rPr>
            </w:pPr>
          </w:p>
        </w:tc>
        <w:tc>
          <w:tcPr>
            <w:tcW w:w="583" w:type="dxa"/>
            <w:vAlign w:val="center"/>
          </w:tcPr>
          <w:p>
            <w:pPr>
              <w:snapToGrid w:val="0"/>
              <w:jc w:val="center"/>
              <w:rPr>
                <w:rFonts w:ascii="宋体" w:hAnsi="宋体" w:cs="宋体"/>
                <w:snapToGrid w:val="0"/>
                <w:color w:val="auto"/>
                <w:sz w:val="18"/>
                <w:szCs w:val="18"/>
                <w:highlight w:val="none"/>
              </w:rPr>
            </w:pPr>
          </w:p>
        </w:tc>
        <w:tc>
          <w:tcPr>
            <w:tcW w:w="668" w:type="dxa"/>
            <w:vAlign w:val="center"/>
          </w:tcPr>
          <w:p>
            <w:pPr>
              <w:snapToGrid w:val="0"/>
              <w:jc w:val="center"/>
              <w:rPr>
                <w:rFonts w:ascii="宋体" w:hAnsi="宋体" w:cs="宋体"/>
                <w:snapToGrid w:val="0"/>
                <w:color w:val="auto"/>
                <w:sz w:val="18"/>
                <w:szCs w:val="18"/>
                <w:highlight w:val="none"/>
              </w:rPr>
            </w:pPr>
          </w:p>
        </w:tc>
        <w:tc>
          <w:tcPr>
            <w:tcW w:w="1058" w:type="dxa"/>
            <w:vAlign w:val="center"/>
          </w:tcPr>
          <w:p>
            <w:pPr>
              <w:snapToGrid w:val="0"/>
              <w:jc w:val="center"/>
              <w:rPr>
                <w:rFonts w:ascii="宋体" w:hAnsi="宋体" w:cs="宋体"/>
                <w:snapToGrid w:val="0"/>
                <w:color w:val="auto"/>
                <w:sz w:val="18"/>
                <w:szCs w:val="18"/>
                <w:highlight w:val="none"/>
              </w:rPr>
            </w:pPr>
          </w:p>
        </w:tc>
        <w:tc>
          <w:tcPr>
            <w:tcW w:w="728" w:type="dxa"/>
            <w:vAlign w:val="center"/>
          </w:tcPr>
          <w:p>
            <w:pPr>
              <w:snapToGrid w:val="0"/>
              <w:jc w:val="center"/>
              <w:rPr>
                <w:rFonts w:ascii="宋体" w:hAnsi="宋体" w:cs="宋体"/>
                <w:snapToGrid w:val="0"/>
                <w:color w:val="auto"/>
                <w:sz w:val="18"/>
                <w:szCs w:val="18"/>
                <w:highlight w:val="none"/>
              </w:rPr>
            </w:pPr>
          </w:p>
        </w:tc>
      </w:tr>
    </w:tbl>
    <w:p>
      <w:pPr>
        <w:snapToGrid w:val="0"/>
        <w:rPr>
          <w:rFonts w:ascii="宋体" w:hAnsi="宋体" w:cs="宋体"/>
          <w:color w:val="auto"/>
          <w:szCs w:val="24"/>
          <w:highlight w:val="none"/>
        </w:rPr>
      </w:pPr>
    </w:p>
    <w:p>
      <w:pPr>
        <w:pStyle w:val="5"/>
        <w:spacing w:beforeLines="50" w:afterLines="50"/>
        <w:rPr>
          <w:color w:val="auto"/>
          <w:sz w:val="21"/>
          <w:szCs w:val="21"/>
          <w:highlight w:val="none"/>
        </w:rPr>
      </w:pPr>
      <w:bookmarkStart w:id="642" w:name="_Toc91247594"/>
      <w:r>
        <w:rPr>
          <w:rFonts w:hint="eastAsia"/>
          <w:color w:val="auto"/>
          <w:sz w:val="21"/>
          <w:szCs w:val="21"/>
          <w:highlight w:val="none"/>
        </w:rPr>
        <w:t>附表3  必需的备品备件</w:t>
      </w:r>
      <w:bookmarkEnd w:id="642"/>
    </w:p>
    <w:tbl>
      <w:tblPr>
        <w:tblStyle w:val="34"/>
        <w:tblW w:w="8369" w:type="dxa"/>
        <w:tblInd w:w="0"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28" w:type="dxa"/>
          <w:bottom w:w="0" w:type="dxa"/>
          <w:right w:w="28" w:type="dxa"/>
        </w:tblCellMar>
      </w:tblPr>
      <w:tblGrid>
        <w:gridCol w:w="739"/>
        <w:gridCol w:w="2215"/>
        <w:gridCol w:w="1354"/>
        <w:gridCol w:w="738"/>
        <w:gridCol w:w="738"/>
        <w:gridCol w:w="739"/>
        <w:gridCol w:w="1108"/>
        <w:gridCol w:w="738"/>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340" w:hRule="atLeast"/>
          <w:tblHeader/>
        </w:trPr>
        <w:tc>
          <w:tcPr>
            <w:tcW w:w="739"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序号</w:t>
            </w:r>
          </w:p>
        </w:tc>
        <w:tc>
          <w:tcPr>
            <w:tcW w:w="2215"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名称</w:t>
            </w:r>
          </w:p>
        </w:tc>
        <w:tc>
          <w:tcPr>
            <w:tcW w:w="1354"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规格和型号</w:t>
            </w:r>
          </w:p>
        </w:tc>
        <w:tc>
          <w:tcPr>
            <w:tcW w:w="738"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单位</w:t>
            </w:r>
          </w:p>
        </w:tc>
        <w:tc>
          <w:tcPr>
            <w:tcW w:w="738"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数量</w:t>
            </w:r>
          </w:p>
        </w:tc>
        <w:tc>
          <w:tcPr>
            <w:tcW w:w="739"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产地</w:t>
            </w:r>
          </w:p>
        </w:tc>
        <w:tc>
          <w:tcPr>
            <w:tcW w:w="1108"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生产厂家</w:t>
            </w:r>
          </w:p>
        </w:tc>
        <w:tc>
          <w:tcPr>
            <w:tcW w:w="738"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739" w:type="dxa"/>
            <w:vAlign w:val="center"/>
          </w:tcPr>
          <w:p>
            <w:pPr>
              <w:snapToGrid w:val="0"/>
              <w:jc w:val="center"/>
              <w:rPr>
                <w:rFonts w:ascii="宋体" w:hAnsi="宋体" w:cs="宋体"/>
                <w:snapToGrid w:val="0"/>
                <w:color w:val="auto"/>
                <w:sz w:val="18"/>
                <w:szCs w:val="18"/>
                <w:highlight w:val="none"/>
              </w:rPr>
            </w:pPr>
            <w:r>
              <w:rPr>
                <w:rFonts w:ascii="宋体" w:hAnsi="宋体" w:cs="宋体"/>
                <w:snapToGrid w:val="0"/>
                <w:color w:val="auto"/>
                <w:sz w:val="18"/>
                <w:szCs w:val="18"/>
                <w:highlight w:val="none"/>
              </w:rPr>
              <w:t>1</w:t>
            </w:r>
          </w:p>
        </w:tc>
        <w:tc>
          <w:tcPr>
            <w:tcW w:w="2215" w:type="dxa"/>
            <w:vAlign w:val="center"/>
          </w:tcPr>
          <w:p>
            <w:pPr>
              <w:tabs>
                <w:tab w:val="left" w:pos="851"/>
              </w:tabs>
              <w:snapToGrid w:val="0"/>
              <w:jc w:val="left"/>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组串式逆变器</w:t>
            </w:r>
          </w:p>
        </w:tc>
        <w:tc>
          <w:tcPr>
            <w:tcW w:w="1354" w:type="dxa"/>
            <w:vAlign w:val="center"/>
          </w:tcPr>
          <w:p>
            <w:pPr>
              <w:tabs>
                <w:tab w:val="left" w:pos="851"/>
              </w:tabs>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本次供货数量最多的类型</w:t>
            </w:r>
          </w:p>
        </w:tc>
        <w:tc>
          <w:tcPr>
            <w:tcW w:w="738"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台</w:t>
            </w:r>
          </w:p>
        </w:tc>
        <w:tc>
          <w:tcPr>
            <w:tcW w:w="738" w:type="dxa"/>
            <w:vAlign w:val="center"/>
          </w:tcPr>
          <w:p>
            <w:pPr>
              <w:tabs>
                <w:tab w:val="left" w:pos="851"/>
              </w:tabs>
              <w:snapToGrid w:val="0"/>
              <w:jc w:val="center"/>
              <w:rPr>
                <w:rFonts w:ascii="宋体" w:hAnsi="宋体" w:cs="宋体"/>
                <w:snapToGrid w:val="0"/>
                <w:color w:val="auto"/>
                <w:sz w:val="18"/>
                <w:szCs w:val="18"/>
                <w:highlight w:val="none"/>
              </w:rPr>
            </w:pPr>
            <w:r>
              <w:rPr>
                <w:rFonts w:ascii="宋体" w:hAnsi="宋体" w:cs="宋体"/>
                <w:snapToGrid w:val="0"/>
                <w:color w:val="auto"/>
                <w:sz w:val="18"/>
                <w:szCs w:val="18"/>
                <w:highlight w:val="none"/>
              </w:rPr>
              <w:t>5</w:t>
            </w:r>
          </w:p>
        </w:tc>
        <w:tc>
          <w:tcPr>
            <w:tcW w:w="739" w:type="dxa"/>
            <w:vAlign w:val="center"/>
          </w:tcPr>
          <w:p>
            <w:pPr>
              <w:snapToGrid w:val="0"/>
              <w:jc w:val="center"/>
              <w:rPr>
                <w:rFonts w:ascii="宋体" w:hAnsi="宋体" w:cs="宋体"/>
                <w:snapToGrid w:val="0"/>
                <w:color w:val="auto"/>
                <w:sz w:val="18"/>
                <w:szCs w:val="18"/>
                <w:highlight w:val="none"/>
              </w:rPr>
            </w:pPr>
          </w:p>
        </w:tc>
        <w:tc>
          <w:tcPr>
            <w:tcW w:w="1108" w:type="dxa"/>
            <w:vAlign w:val="center"/>
          </w:tcPr>
          <w:p>
            <w:pPr>
              <w:snapToGrid w:val="0"/>
              <w:jc w:val="center"/>
              <w:rPr>
                <w:rFonts w:ascii="宋体" w:hAnsi="宋体" w:cs="宋体"/>
                <w:snapToGrid w:val="0"/>
                <w:color w:val="auto"/>
                <w:sz w:val="18"/>
                <w:szCs w:val="18"/>
                <w:highlight w:val="none"/>
              </w:rPr>
            </w:pPr>
          </w:p>
        </w:tc>
        <w:tc>
          <w:tcPr>
            <w:tcW w:w="738" w:type="dxa"/>
            <w:vAlign w:val="center"/>
          </w:tcPr>
          <w:p>
            <w:pPr>
              <w:snapToGrid w:val="0"/>
              <w:jc w:val="center"/>
              <w:rPr>
                <w:rFonts w:ascii="宋体" w:hAnsi="宋体" w:cs="宋体"/>
                <w:snapToGrid w:val="0"/>
                <w:color w:val="auto"/>
                <w:sz w:val="18"/>
                <w:szCs w:val="18"/>
                <w:highlight w:val="none"/>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739"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2</w:t>
            </w:r>
          </w:p>
        </w:tc>
        <w:tc>
          <w:tcPr>
            <w:tcW w:w="2215" w:type="dxa"/>
            <w:vAlign w:val="center"/>
          </w:tcPr>
          <w:p>
            <w:pPr>
              <w:tabs>
                <w:tab w:val="left" w:pos="851"/>
              </w:tabs>
              <w:snapToGrid w:val="0"/>
              <w:jc w:val="left"/>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风扇</w:t>
            </w:r>
          </w:p>
        </w:tc>
        <w:tc>
          <w:tcPr>
            <w:tcW w:w="1354" w:type="dxa"/>
            <w:vAlign w:val="center"/>
          </w:tcPr>
          <w:p>
            <w:pPr>
              <w:tabs>
                <w:tab w:val="left" w:pos="851"/>
              </w:tabs>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同供货品牌</w:t>
            </w:r>
          </w:p>
        </w:tc>
        <w:tc>
          <w:tcPr>
            <w:tcW w:w="738"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套</w:t>
            </w:r>
          </w:p>
        </w:tc>
        <w:tc>
          <w:tcPr>
            <w:tcW w:w="738" w:type="dxa"/>
            <w:vAlign w:val="center"/>
          </w:tcPr>
          <w:p>
            <w:pPr>
              <w:tabs>
                <w:tab w:val="left" w:pos="851"/>
              </w:tabs>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5</w:t>
            </w:r>
          </w:p>
        </w:tc>
        <w:tc>
          <w:tcPr>
            <w:tcW w:w="739" w:type="dxa"/>
            <w:vAlign w:val="center"/>
          </w:tcPr>
          <w:p>
            <w:pPr>
              <w:snapToGrid w:val="0"/>
              <w:jc w:val="center"/>
              <w:rPr>
                <w:rFonts w:ascii="宋体" w:hAnsi="宋体" w:cs="宋体"/>
                <w:snapToGrid w:val="0"/>
                <w:color w:val="auto"/>
                <w:sz w:val="18"/>
                <w:szCs w:val="18"/>
                <w:highlight w:val="none"/>
              </w:rPr>
            </w:pPr>
          </w:p>
        </w:tc>
        <w:tc>
          <w:tcPr>
            <w:tcW w:w="1108" w:type="dxa"/>
            <w:vAlign w:val="center"/>
          </w:tcPr>
          <w:p>
            <w:pPr>
              <w:snapToGrid w:val="0"/>
              <w:jc w:val="center"/>
              <w:rPr>
                <w:rFonts w:ascii="宋体" w:hAnsi="宋体" w:cs="宋体"/>
                <w:snapToGrid w:val="0"/>
                <w:color w:val="auto"/>
                <w:sz w:val="18"/>
                <w:szCs w:val="18"/>
                <w:highlight w:val="none"/>
              </w:rPr>
            </w:pPr>
          </w:p>
        </w:tc>
        <w:tc>
          <w:tcPr>
            <w:tcW w:w="738" w:type="dxa"/>
            <w:vAlign w:val="center"/>
          </w:tcPr>
          <w:p>
            <w:pPr>
              <w:snapToGrid w:val="0"/>
              <w:jc w:val="center"/>
              <w:rPr>
                <w:rFonts w:ascii="宋体" w:hAnsi="宋体" w:cs="宋体"/>
                <w:snapToGrid w:val="0"/>
                <w:color w:val="auto"/>
                <w:sz w:val="18"/>
                <w:szCs w:val="18"/>
                <w:highlight w:val="none"/>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739"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w:t>
            </w:r>
          </w:p>
        </w:tc>
        <w:tc>
          <w:tcPr>
            <w:tcW w:w="2215" w:type="dxa"/>
            <w:vAlign w:val="center"/>
          </w:tcPr>
          <w:p>
            <w:pPr>
              <w:tabs>
                <w:tab w:val="left" w:pos="851"/>
              </w:tabs>
              <w:snapToGrid w:val="0"/>
              <w:jc w:val="left"/>
              <w:rPr>
                <w:rFonts w:ascii="宋体" w:hAnsi="宋体" w:cs="宋体"/>
                <w:snapToGrid w:val="0"/>
                <w:color w:val="auto"/>
                <w:sz w:val="18"/>
                <w:szCs w:val="18"/>
                <w:highlight w:val="none"/>
              </w:rPr>
            </w:pPr>
          </w:p>
        </w:tc>
        <w:tc>
          <w:tcPr>
            <w:tcW w:w="1354" w:type="dxa"/>
            <w:vAlign w:val="center"/>
          </w:tcPr>
          <w:p>
            <w:pPr>
              <w:tabs>
                <w:tab w:val="left" w:pos="851"/>
              </w:tabs>
              <w:snapToGrid w:val="0"/>
              <w:jc w:val="center"/>
              <w:rPr>
                <w:rFonts w:ascii="宋体" w:hAnsi="宋体" w:cs="宋体"/>
                <w:snapToGrid w:val="0"/>
                <w:color w:val="auto"/>
                <w:sz w:val="18"/>
                <w:szCs w:val="18"/>
                <w:highlight w:val="none"/>
              </w:rPr>
            </w:pPr>
          </w:p>
        </w:tc>
        <w:tc>
          <w:tcPr>
            <w:tcW w:w="738" w:type="dxa"/>
            <w:vAlign w:val="center"/>
          </w:tcPr>
          <w:p>
            <w:pPr>
              <w:snapToGrid w:val="0"/>
              <w:jc w:val="center"/>
              <w:rPr>
                <w:rFonts w:ascii="宋体" w:hAnsi="宋体" w:cs="宋体"/>
                <w:snapToGrid w:val="0"/>
                <w:color w:val="auto"/>
                <w:sz w:val="18"/>
                <w:szCs w:val="18"/>
                <w:highlight w:val="none"/>
              </w:rPr>
            </w:pPr>
          </w:p>
        </w:tc>
        <w:tc>
          <w:tcPr>
            <w:tcW w:w="738" w:type="dxa"/>
            <w:vAlign w:val="center"/>
          </w:tcPr>
          <w:p>
            <w:pPr>
              <w:tabs>
                <w:tab w:val="left" w:pos="851"/>
              </w:tabs>
              <w:snapToGrid w:val="0"/>
              <w:jc w:val="center"/>
              <w:rPr>
                <w:rFonts w:ascii="宋体" w:hAnsi="宋体" w:cs="宋体"/>
                <w:snapToGrid w:val="0"/>
                <w:color w:val="auto"/>
                <w:sz w:val="18"/>
                <w:szCs w:val="18"/>
                <w:highlight w:val="none"/>
              </w:rPr>
            </w:pPr>
          </w:p>
        </w:tc>
        <w:tc>
          <w:tcPr>
            <w:tcW w:w="739" w:type="dxa"/>
            <w:vAlign w:val="center"/>
          </w:tcPr>
          <w:p>
            <w:pPr>
              <w:snapToGrid w:val="0"/>
              <w:jc w:val="center"/>
              <w:rPr>
                <w:rFonts w:ascii="宋体" w:hAnsi="宋体" w:cs="宋体"/>
                <w:snapToGrid w:val="0"/>
                <w:color w:val="auto"/>
                <w:sz w:val="18"/>
                <w:szCs w:val="18"/>
                <w:highlight w:val="none"/>
              </w:rPr>
            </w:pPr>
          </w:p>
        </w:tc>
        <w:tc>
          <w:tcPr>
            <w:tcW w:w="1108" w:type="dxa"/>
            <w:vAlign w:val="center"/>
          </w:tcPr>
          <w:p>
            <w:pPr>
              <w:snapToGrid w:val="0"/>
              <w:jc w:val="center"/>
              <w:rPr>
                <w:rFonts w:ascii="宋体" w:hAnsi="宋体" w:cs="宋体"/>
                <w:snapToGrid w:val="0"/>
                <w:color w:val="auto"/>
                <w:sz w:val="18"/>
                <w:szCs w:val="18"/>
                <w:highlight w:val="none"/>
              </w:rPr>
            </w:pPr>
          </w:p>
        </w:tc>
        <w:tc>
          <w:tcPr>
            <w:tcW w:w="738" w:type="dxa"/>
            <w:vAlign w:val="center"/>
          </w:tcPr>
          <w:p>
            <w:pPr>
              <w:snapToGrid w:val="0"/>
              <w:jc w:val="center"/>
              <w:rPr>
                <w:rFonts w:ascii="宋体" w:hAnsi="宋体" w:cs="宋体"/>
                <w:snapToGrid w:val="0"/>
                <w:color w:val="auto"/>
                <w:sz w:val="18"/>
                <w:szCs w:val="18"/>
                <w:highlight w:val="none"/>
              </w:rPr>
            </w:pPr>
          </w:p>
        </w:tc>
      </w:tr>
    </w:tbl>
    <w:p>
      <w:pPr>
        <w:adjustRightInd w:val="0"/>
        <w:snapToGrid w:val="0"/>
        <w:spacing w:before="120" w:beforeLines="50"/>
        <w:ind w:leftChars="-270" w:hanging="648" w:hangingChars="270"/>
        <w:rPr>
          <w:rFonts w:ascii="宋体" w:hAnsi="宋体" w:cs="宋体"/>
          <w:color w:val="auto"/>
          <w:szCs w:val="24"/>
          <w:highlight w:val="none"/>
        </w:rPr>
      </w:pPr>
      <w:r>
        <w:rPr>
          <w:rFonts w:hint="eastAsia" w:ascii="宋体" w:hAnsi="宋体" w:cs="宋体"/>
          <w:color w:val="auto"/>
          <w:szCs w:val="24"/>
          <w:highlight w:val="none"/>
        </w:rPr>
        <w:t xml:space="preserve">     </w:t>
      </w:r>
    </w:p>
    <w:p>
      <w:pPr>
        <w:pStyle w:val="5"/>
        <w:spacing w:beforeLines="50" w:afterLines="50"/>
        <w:rPr>
          <w:color w:val="auto"/>
          <w:sz w:val="21"/>
          <w:szCs w:val="21"/>
          <w:highlight w:val="none"/>
        </w:rPr>
      </w:pPr>
      <w:bookmarkStart w:id="643" w:name="_Toc91247595"/>
      <w:r>
        <w:rPr>
          <w:rFonts w:hint="eastAsia"/>
          <w:color w:val="auto"/>
          <w:sz w:val="21"/>
          <w:szCs w:val="21"/>
          <w:highlight w:val="none"/>
        </w:rPr>
        <w:t>附表4  必需的专用工器具及仪器仪表</w:t>
      </w:r>
      <w:bookmarkEnd w:id="643"/>
    </w:p>
    <w:tbl>
      <w:tblPr>
        <w:tblStyle w:val="34"/>
        <w:tblW w:w="0" w:type="auto"/>
        <w:tblInd w:w="0"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28" w:type="dxa"/>
          <w:bottom w:w="0" w:type="dxa"/>
          <w:right w:w="28" w:type="dxa"/>
        </w:tblCellMar>
      </w:tblPr>
      <w:tblGrid>
        <w:gridCol w:w="739"/>
        <w:gridCol w:w="2215"/>
        <w:gridCol w:w="1354"/>
        <w:gridCol w:w="738"/>
        <w:gridCol w:w="738"/>
        <w:gridCol w:w="739"/>
        <w:gridCol w:w="1108"/>
        <w:gridCol w:w="738"/>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340" w:hRule="atLeast"/>
          <w:tblHeader/>
        </w:trPr>
        <w:tc>
          <w:tcPr>
            <w:tcW w:w="739"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序号</w:t>
            </w:r>
          </w:p>
        </w:tc>
        <w:tc>
          <w:tcPr>
            <w:tcW w:w="2215"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名称</w:t>
            </w:r>
          </w:p>
        </w:tc>
        <w:tc>
          <w:tcPr>
            <w:tcW w:w="1354"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规格和型号</w:t>
            </w:r>
          </w:p>
        </w:tc>
        <w:tc>
          <w:tcPr>
            <w:tcW w:w="738"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单位</w:t>
            </w:r>
          </w:p>
        </w:tc>
        <w:tc>
          <w:tcPr>
            <w:tcW w:w="738"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数量</w:t>
            </w:r>
          </w:p>
        </w:tc>
        <w:tc>
          <w:tcPr>
            <w:tcW w:w="739"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产地</w:t>
            </w:r>
          </w:p>
        </w:tc>
        <w:tc>
          <w:tcPr>
            <w:tcW w:w="1108"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生产厂家</w:t>
            </w:r>
          </w:p>
        </w:tc>
        <w:tc>
          <w:tcPr>
            <w:tcW w:w="738"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739"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1</w:t>
            </w:r>
          </w:p>
        </w:tc>
        <w:tc>
          <w:tcPr>
            <w:tcW w:w="2215" w:type="dxa"/>
            <w:vAlign w:val="center"/>
          </w:tcPr>
          <w:p>
            <w:pPr>
              <w:tabs>
                <w:tab w:val="left" w:pos="851"/>
              </w:tabs>
              <w:snapToGrid w:val="0"/>
              <w:jc w:val="left"/>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专用工具</w:t>
            </w:r>
          </w:p>
        </w:tc>
        <w:tc>
          <w:tcPr>
            <w:tcW w:w="1354" w:type="dxa"/>
            <w:vAlign w:val="center"/>
          </w:tcPr>
          <w:p>
            <w:pPr>
              <w:tabs>
                <w:tab w:val="left" w:pos="851"/>
              </w:tabs>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2</w:t>
            </w:r>
            <w:r>
              <w:rPr>
                <w:rFonts w:ascii="宋体" w:hAnsi="宋体" w:cs="宋体"/>
                <w:snapToGrid w:val="0"/>
                <w:color w:val="auto"/>
                <w:sz w:val="18"/>
                <w:szCs w:val="18"/>
                <w:highlight w:val="none"/>
              </w:rPr>
              <w:t>4</w:t>
            </w:r>
            <w:r>
              <w:rPr>
                <w:rFonts w:hint="eastAsia" w:ascii="宋体" w:hAnsi="宋体" w:cs="宋体"/>
                <w:snapToGrid w:val="0"/>
                <w:color w:val="auto"/>
                <w:sz w:val="18"/>
                <w:szCs w:val="18"/>
                <w:highlight w:val="none"/>
              </w:rPr>
              <w:t>件套</w:t>
            </w:r>
          </w:p>
        </w:tc>
        <w:tc>
          <w:tcPr>
            <w:tcW w:w="738"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套</w:t>
            </w:r>
          </w:p>
        </w:tc>
        <w:tc>
          <w:tcPr>
            <w:tcW w:w="738" w:type="dxa"/>
            <w:vAlign w:val="center"/>
          </w:tcPr>
          <w:p>
            <w:pPr>
              <w:tabs>
                <w:tab w:val="left" w:pos="851"/>
              </w:tabs>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1</w:t>
            </w:r>
          </w:p>
        </w:tc>
        <w:tc>
          <w:tcPr>
            <w:tcW w:w="739" w:type="dxa"/>
            <w:vAlign w:val="center"/>
          </w:tcPr>
          <w:p>
            <w:pPr>
              <w:snapToGrid w:val="0"/>
              <w:jc w:val="center"/>
              <w:rPr>
                <w:rFonts w:ascii="宋体" w:hAnsi="宋体" w:cs="宋体"/>
                <w:snapToGrid w:val="0"/>
                <w:color w:val="auto"/>
                <w:sz w:val="18"/>
                <w:szCs w:val="18"/>
                <w:highlight w:val="none"/>
              </w:rPr>
            </w:pPr>
          </w:p>
        </w:tc>
        <w:tc>
          <w:tcPr>
            <w:tcW w:w="1108" w:type="dxa"/>
            <w:vAlign w:val="center"/>
          </w:tcPr>
          <w:p>
            <w:pPr>
              <w:snapToGrid w:val="0"/>
              <w:jc w:val="center"/>
              <w:rPr>
                <w:rFonts w:ascii="宋体" w:hAnsi="宋体" w:cs="宋体"/>
                <w:snapToGrid w:val="0"/>
                <w:color w:val="auto"/>
                <w:sz w:val="18"/>
                <w:szCs w:val="18"/>
                <w:highlight w:val="none"/>
              </w:rPr>
            </w:pPr>
          </w:p>
        </w:tc>
        <w:tc>
          <w:tcPr>
            <w:tcW w:w="738" w:type="dxa"/>
            <w:vAlign w:val="center"/>
          </w:tcPr>
          <w:p>
            <w:pPr>
              <w:snapToGrid w:val="0"/>
              <w:jc w:val="center"/>
              <w:rPr>
                <w:rFonts w:ascii="宋体" w:hAnsi="宋体" w:cs="宋体"/>
                <w:snapToGrid w:val="0"/>
                <w:color w:val="auto"/>
                <w:sz w:val="18"/>
                <w:szCs w:val="18"/>
                <w:highlight w:val="none"/>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739"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2</w:t>
            </w:r>
          </w:p>
        </w:tc>
        <w:tc>
          <w:tcPr>
            <w:tcW w:w="2215" w:type="dxa"/>
            <w:vAlign w:val="center"/>
          </w:tcPr>
          <w:p>
            <w:pPr>
              <w:tabs>
                <w:tab w:val="left" w:pos="851"/>
              </w:tabs>
              <w:snapToGrid w:val="0"/>
              <w:jc w:val="left"/>
              <w:rPr>
                <w:rFonts w:ascii="宋体" w:hAnsi="宋体" w:cs="宋体"/>
                <w:snapToGrid w:val="0"/>
                <w:color w:val="auto"/>
                <w:sz w:val="18"/>
                <w:szCs w:val="18"/>
                <w:highlight w:val="none"/>
              </w:rPr>
            </w:pPr>
          </w:p>
        </w:tc>
        <w:tc>
          <w:tcPr>
            <w:tcW w:w="1354" w:type="dxa"/>
            <w:vAlign w:val="center"/>
          </w:tcPr>
          <w:p>
            <w:pPr>
              <w:tabs>
                <w:tab w:val="left" w:pos="851"/>
              </w:tabs>
              <w:snapToGrid w:val="0"/>
              <w:jc w:val="center"/>
              <w:rPr>
                <w:rFonts w:ascii="宋体" w:hAnsi="宋体" w:cs="宋体"/>
                <w:snapToGrid w:val="0"/>
                <w:color w:val="auto"/>
                <w:sz w:val="18"/>
                <w:szCs w:val="18"/>
                <w:highlight w:val="none"/>
              </w:rPr>
            </w:pPr>
          </w:p>
        </w:tc>
        <w:tc>
          <w:tcPr>
            <w:tcW w:w="738" w:type="dxa"/>
            <w:vAlign w:val="center"/>
          </w:tcPr>
          <w:p>
            <w:pPr>
              <w:snapToGrid w:val="0"/>
              <w:jc w:val="center"/>
              <w:rPr>
                <w:rFonts w:ascii="宋体" w:hAnsi="宋体" w:cs="宋体"/>
                <w:snapToGrid w:val="0"/>
                <w:color w:val="auto"/>
                <w:sz w:val="18"/>
                <w:szCs w:val="18"/>
                <w:highlight w:val="none"/>
              </w:rPr>
            </w:pPr>
          </w:p>
        </w:tc>
        <w:tc>
          <w:tcPr>
            <w:tcW w:w="738" w:type="dxa"/>
            <w:vAlign w:val="center"/>
          </w:tcPr>
          <w:p>
            <w:pPr>
              <w:tabs>
                <w:tab w:val="left" w:pos="851"/>
              </w:tabs>
              <w:snapToGrid w:val="0"/>
              <w:jc w:val="center"/>
              <w:rPr>
                <w:rFonts w:ascii="宋体" w:hAnsi="宋体" w:cs="宋体"/>
                <w:snapToGrid w:val="0"/>
                <w:color w:val="auto"/>
                <w:sz w:val="18"/>
                <w:szCs w:val="18"/>
                <w:highlight w:val="none"/>
              </w:rPr>
            </w:pPr>
          </w:p>
        </w:tc>
        <w:tc>
          <w:tcPr>
            <w:tcW w:w="739" w:type="dxa"/>
            <w:vAlign w:val="center"/>
          </w:tcPr>
          <w:p>
            <w:pPr>
              <w:snapToGrid w:val="0"/>
              <w:jc w:val="center"/>
              <w:rPr>
                <w:rFonts w:ascii="宋体" w:hAnsi="宋体" w:cs="宋体"/>
                <w:snapToGrid w:val="0"/>
                <w:color w:val="auto"/>
                <w:sz w:val="18"/>
                <w:szCs w:val="18"/>
                <w:highlight w:val="none"/>
              </w:rPr>
            </w:pPr>
          </w:p>
        </w:tc>
        <w:tc>
          <w:tcPr>
            <w:tcW w:w="1108" w:type="dxa"/>
            <w:vAlign w:val="center"/>
          </w:tcPr>
          <w:p>
            <w:pPr>
              <w:snapToGrid w:val="0"/>
              <w:jc w:val="center"/>
              <w:rPr>
                <w:rFonts w:ascii="宋体" w:hAnsi="宋体" w:cs="宋体"/>
                <w:snapToGrid w:val="0"/>
                <w:color w:val="auto"/>
                <w:sz w:val="18"/>
                <w:szCs w:val="18"/>
                <w:highlight w:val="none"/>
              </w:rPr>
            </w:pPr>
          </w:p>
        </w:tc>
        <w:tc>
          <w:tcPr>
            <w:tcW w:w="738" w:type="dxa"/>
            <w:vAlign w:val="center"/>
          </w:tcPr>
          <w:p>
            <w:pPr>
              <w:snapToGrid w:val="0"/>
              <w:jc w:val="center"/>
              <w:rPr>
                <w:rFonts w:ascii="宋体" w:hAnsi="宋体" w:cs="宋体"/>
                <w:snapToGrid w:val="0"/>
                <w:color w:val="auto"/>
                <w:sz w:val="18"/>
                <w:szCs w:val="18"/>
                <w:highlight w:val="none"/>
              </w:rPr>
            </w:pPr>
          </w:p>
        </w:tc>
      </w:tr>
    </w:tbl>
    <w:p>
      <w:pPr>
        <w:topLinePunct/>
        <w:ind w:firstLine="420" w:firstLineChars="200"/>
        <w:rPr>
          <w:rFonts w:ascii="宋体" w:hAnsi="宋体" w:cs="宋体"/>
          <w:bCs/>
          <w:color w:val="auto"/>
          <w:sz w:val="21"/>
          <w:szCs w:val="21"/>
          <w:highlight w:val="none"/>
        </w:rPr>
      </w:pP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注：应提供专用工器具的技术参数和使用说明书等资料。</w:t>
      </w:r>
    </w:p>
    <w:p>
      <w:pPr>
        <w:snapToGrid w:val="0"/>
        <w:rPr>
          <w:rFonts w:ascii="宋体" w:hAnsi="宋体" w:cs="宋体"/>
          <w:color w:val="auto"/>
          <w:kern w:val="0"/>
          <w:szCs w:val="24"/>
          <w:highlight w:val="none"/>
        </w:rPr>
      </w:pPr>
    </w:p>
    <w:p>
      <w:pPr>
        <w:pStyle w:val="5"/>
        <w:spacing w:beforeLines="50" w:afterLines="50"/>
        <w:rPr>
          <w:color w:val="auto"/>
          <w:sz w:val="21"/>
          <w:szCs w:val="21"/>
          <w:highlight w:val="none"/>
        </w:rPr>
      </w:pPr>
      <w:bookmarkStart w:id="644" w:name="_Toc91247596"/>
      <w:r>
        <w:rPr>
          <w:rFonts w:hint="eastAsia"/>
          <w:color w:val="auto"/>
          <w:sz w:val="21"/>
          <w:szCs w:val="21"/>
          <w:highlight w:val="none"/>
        </w:rPr>
        <w:t>附表5   推荐的专用工器具及仪器仪表</w:t>
      </w:r>
      <w:bookmarkEnd w:id="644"/>
    </w:p>
    <w:tbl>
      <w:tblPr>
        <w:tblStyle w:val="34"/>
        <w:tblW w:w="0" w:type="auto"/>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28" w:type="dxa"/>
          <w:bottom w:w="0" w:type="dxa"/>
          <w:right w:w="28" w:type="dxa"/>
        </w:tblCellMar>
      </w:tblPr>
      <w:tblGrid>
        <w:gridCol w:w="615"/>
        <w:gridCol w:w="1280"/>
        <w:gridCol w:w="1592"/>
        <w:gridCol w:w="616"/>
        <w:gridCol w:w="609"/>
        <w:gridCol w:w="611"/>
        <w:gridCol w:w="1404"/>
        <w:gridCol w:w="164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340" w:hRule="atLeast"/>
          <w:tblHeader/>
        </w:trPr>
        <w:tc>
          <w:tcPr>
            <w:tcW w:w="615"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·序号</w:t>
            </w:r>
          </w:p>
        </w:tc>
        <w:tc>
          <w:tcPr>
            <w:tcW w:w="1280"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名称</w:t>
            </w:r>
          </w:p>
        </w:tc>
        <w:tc>
          <w:tcPr>
            <w:tcW w:w="1592"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规格和型号</w:t>
            </w:r>
          </w:p>
        </w:tc>
        <w:tc>
          <w:tcPr>
            <w:tcW w:w="616"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单位</w:t>
            </w:r>
          </w:p>
        </w:tc>
        <w:tc>
          <w:tcPr>
            <w:tcW w:w="609"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数量</w:t>
            </w:r>
          </w:p>
        </w:tc>
        <w:tc>
          <w:tcPr>
            <w:tcW w:w="611"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产地</w:t>
            </w:r>
          </w:p>
        </w:tc>
        <w:tc>
          <w:tcPr>
            <w:tcW w:w="1404"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生产厂家</w:t>
            </w:r>
          </w:p>
        </w:tc>
        <w:tc>
          <w:tcPr>
            <w:tcW w:w="1642"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615"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1</w:t>
            </w:r>
          </w:p>
        </w:tc>
        <w:tc>
          <w:tcPr>
            <w:tcW w:w="1280" w:type="dxa"/>
            <w:vAlign w:val="center"/>
          </w:tcPr>
          <w:p>
            <w:pPr>
              <w:tabs>
                <w:tab w:val="left" w:pos="851"/>
              </w:tabs>
              <w:snapToGrid w:val="0"/>
              <w:jc w:val="center"/>
              <w:rPr>
                <w:rFonts w:ascii="宋体" w:hAnsi="宋体" w:cs="宋体"/>
                <w:snapToGrid w:val="0"/>
                <w:color w:val="auto"/>
                <w:sz w:val="18"/>
                <w:szCs w:val="18"/>
                <w:highlight w:val="none"/>
              </w:rPr>
            </w:pPr>
          </w:p>
        </w:tc>
        <w:tc>
          <w:tcPr>
            <w:tcW w:w="1592" w:type="dxa"/>
            <w:vAlign w:val="center"/>
          </w:tcPr>
          <w:p>
            <w:pPr>
              <w:tabs>
                <w:tab w:val="left" w:pos="851"/>
              </w:tabs>
              <w:snapToGrid w:val="0"/>
              <w:jc w:val="center"/>
              <w:rPr>
                <w:rFonts w:ascii="宋体" w:hAnsi="宋体" w:cs="宋体"/>
                <w:snapToGrid w:val="0"/>
                <w:color w:val="auto"/>
                <w:sz w:val="18"/>
                <w:szCs w:val="18"/>
                <w:highlight w:val="none"/>
              </w:rPr>
            </w:pPr>
          </w:p>
        </w:tc>
        <w:tc>
          <w:tcPr>
            <w:tcW w:w="616" w:type="dxa"/>
            <w:vAlign w:val="center"/>
          </w:tcPr>
          <w:p>
            <w:pPr>
              <w:snapToGrid w:val="0"/>
              <w:jc w:val="center"/>
              <w:rPr>
                <w:rFonts w:ascii="宋体" w:hAnsi="宋体" w:cs="宋体"/>
                <w:snapToGrid w:val="0"/>
                <w:color w:val="auto"/>
                <w:sz w:val="18"/>
                <w:szCs w:val="18"/>
                <w:highlight w:val="none"/>
              </w:rPr>
            </w:pPr>
          </w:p>
        </w:tc>
        <w:tc>
          <w:tcPr>
            <w:tcW w:w="609" w:type="dxa"/>
            <w:vAlign w:val="center"/>
          </w:tcPr>
          <w:p>
            <w:pPr>
              <w:tabs>
                <w:tab w:val="left" w:pos="851"/>
              </w:tabs>
              <w:snapToGrid w:val="0"/>
              <w:jc w:val="center"/>
              <w:rPr>
                <w:rFonts w:ascii="宋体" w:hAnsi="宋体" w:cs="宋体"/>
                <w:snapToGrid w:val="0"/>
                <w:color w:val="auto"/>
                <w:sz w:val="18"/>
                <w:szCs w:val="18"/>
                <w:highlight w:val="none"/>
              </w:rPr>
            </w:pPr>
          </w:p>
        </w:tc>
        <w:tc>
          <w:tcPr>
            <w:tcW w:w="611" w:type="dxa"/>
            <w:vAlign w:val="center"/>
          </w:tcPr>
          <w:p>
            <w:pPr>
              <w:snapToGrid w:val="0"/>
              <w:jc w:val="center"/>
              <w:rPr>
                <w:rFonts w:ascii="宋体" w:hAnsi="宋体" w:cs="宋体"/>
                <w:snapToGrid w:val="0"/>
                <w:color w:val="auto"/>
                <w:sz w:val="18"/>
                <w:szCs w:val="18"/>
                <w:highlight w:val="none"/>
              </w:rPr>
            </w:pPr>
          </w:p>
        </w:tc>
        <w:tc>
          <w:tcPr>
            <w:tcW w:w="1404" w:type="dxa"/>
            <w:vAlign w:val="center"/>
          </w:tcPr>
          <w:p>
            <w:pPr>
              <w:snapToGrid w:val="0"/>
              <w:jc w:val="center"/>
              <w:rPr>
                <w:rFonts w:ascii="宋体" w:hAnsi="宋体" w:cs="宋体"/>
                <w:snapToGrid w:val="0"/>
                <w:color w:val="auto"/>
                <w:sz w:val="18"/>
                <w:szCs w:val="18"/>
                <w:highlight w:val="none"/>
              </w:rPr>
            </w:pPr>
          </w:p>
        </w:tc>
        <w:tc>
          <w:tcPr>
            <w:tcW w:w="1642" w:type="dxa"/>
            <w:vAlign w:val="center"/>
          </w:tcPr>
          <w:p>
            <w:pPr>
              <w:snapToGrid w:val="0"/>
              <w:jc w:val="center"/>
              <w:rPr>
                <w:rFonts w:ascii="宋体" w:hAnsi="宋体" w:cs="宋体"/>
                <w:snapToGrid w:val="0"/>
                <w:color w:val="auto"/>
                <w:sz w:val="18"/>
                <w:szCs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615"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2</w:t>
            </w:r>
          </w:p>
        </w:tc>
        <w:tc>
          <w:tcPr>
            <w:tcW w:w="1280" w:type="dxa"/>
            <w:vAlign w:val="center"/>
          </w:tcPr>
          <w:p>
            <w:pPr>
              <w:tabs>
                <w:tab w:val="left" w:pos="851"/>
              </w:tabs>
              <w:snapToGrid w:val="0"/>
              <w:jc w:val="center"/>
              <w:rPr>
                <w:rFonts w:ascii="宋体" w:hAnsi="宋体" w:cs="宋体"/>
                <w:snapToGrid w:val="0"/>
                <w:color w:val="auto"/>
                <w:sz w:val="18"/>
                <w:szCs w:val="18"/>
                <w:highlight w:val="none"/>
              </w:rPr>
            </w:pPr>
          </w:p>
        </w:tc>
        <w:tc>
          <w:tcPr>
            <w:tcW w:w="1592" w:type="dxa"/>
            <w:vAlign w:val="center"/>
          </w:tcPr>
          <w:p>
            <w:pPr>
              <w:tabs>
                <w:tab w:val="left" w:pos="851"/>
              </w:tabs>
              <w:snapToGrid w:val="0"/>
              <w:jc w:val="center"/>
              <w:rPr>
                <w:rFonts w:ascii="宋体" w:hAnsi="宋体" w:cs="宋体"/>
                <w:snapToGrid w:val="0"/>
                <w:color w:val="auto"/>
                <w:sz w:val="18"/>
                <w:szCs w:val="18"/>
                <w:highlight w:val="none"/>
              </w:rPr>
            </w:pPr>
          </w:p>
        </w:tc>
        <w:tc>
          <w:tcPr>
            <w:tcW w:w="616" w:type="dxa"/>
            <w:vAlign w:val="center"/>
          </w:tcPr>
          <w:p>
            <w:pPr>
              <w:snapToGrid w:val="0"/>
              <w:jc w:val="center"/>
              <w:rPr>
                <w:rFonts w:ascii="宋体" w:hAnsi="宋体" w:cs="宋体"/>
                <w:snapToGrid w:val="0"/>
                <w:color w:val="auto"/>
                <w:sz w:val="18"/>
                <w:szCs w:val="18"/>
                <w:highlight w:val="none"/>
              </w:rPr>
            </w:pPr>
          </w:p>
        </w:tc>
        <w:tc>
          <w:tcPr>
            <w:tcW w:w="609" w:type="dxa"/>
            <w:vAlign w:val="center"/>
          </w:tcPr>
          <w:p>
            <w:pPr>
              <w:tabs>
                <w:tab w:val="left" w:pos="851"/>
              </w:tabs>
              <w:snapToGrid w:val="0"/>
              <w:jc w:val="center"/>
              <w:rPr>
                <w:rFonts w:ascii="宋体" w:hAnsi="宋体" w:cs="宋体"/>
                <w:snapToGrid w:val="0"/>
                <w:color w:val="auto"/>
                <w:sz w:val="18"/>
                <w:szCs w:val="18"/>
                <w:highlight w:val="none"/>
              </w:rPr>
            </w:pPr>
          </w:p>
        </w:tc>
        <w:tc>
          <w:tcPr>
            <w:tcW w:w="611" w:type="dxa"/>
            <w:vAlign w:val="center"/>
          </w:tcPr>
          <w:p>
            <w:pPr>
              <w:snapToGrid w:val="0"/>
              <w:jc w:val="center"/>
              <w:rPr>
                <w:rFonts w:ascii="宋体" w:hAnsi="宋体" w:cs="宋体"/>
                <w:snapToGrid w:val="0"/>
                <w:color w:val="auto"/>
                <w:sz w:val="18"/>
                <w:szCs w:val="18"/>
                <w:highlight w:val="none"/>
              </w:rPr>
            </w:pPr>
          </w:p>
        </w:tc>
        <w:tc>
          <w:tcPr>
            <w:tcW w:w="1404" w:type="dxa"/>
            <w:vAlign w:val="center"/>
          </w:tcPr>
          <w:p>
            <w:pPr>
              <w:snapToGrid w:val="0"/>
              <w:jc w:val="center"/>
              <w:rPr>
                <w:rFonts w:ascii="宋体" w:hAnsi="宋体" w:cs="宋体"/>
                <w:snapToGrid w:val="0"/>
                <w:color w:val="auto"/>
                <w:sz w:val="18"/>
                <w:szCs w:val="18"/>
                <w:highlight w:val="none"/>
              </w:rPr>
            </w:pPr>
          </w:p>
        </w:tc>
        <w:tc>
          <w:tcPr>
            <w:tcW w:w="1642" w:type="dxa"/>
            <w:vAlign w:val="center"/>
          </w:tcPr>
          <w:p>
            <w:pPr>
              <w:snapToGrid w:val="0"/>
              <w:jc w:val="center"/>
              <w:rPr>
                <w:rFonts w:ascii="宋体" w:hAnsi="宋体" w:cs="宋体"/>
                <w:snapToGrid w:val="0"/>
                <w:color w:val="auto"/>
                <w:sz w:val="18"/>
                <w:szCs w:val="18"/>
                <w:highlight w:val="none"/>
              </w:rPr>
            </w:pPr>
          </w:p>
        </w:tc>
      </w:tr>
    </w:tbl>
    <w:p>
      <w:pPr>
        <w:rPr>
          <w:rStyle w:val="60"/>
          <w:rFonts w:cs="宋体"/>
          <w:color w:val="auto"/>
          <w:szCs w:val="24"/>
          <w:highlight w:val="none"/>
        </w:rPr>
      </w:pPr>
    </w:p>
    <w:p>
      <w:pPr>
        <w:jc w:val="center"/>
        <w:outlineLvl w:val="0"/>
        <w:rPr>
          <w:rFonts w:ascii="宋体" w:hAnsi="宋体" w:cs="宋体"/>
          <w:color w:val="auto"/>
          <w:sz w:val="21"/>
          <w:szCs w:val="21"/>
          <w:highlight w:val="none"/>
        </w:rPr>
        <w:sectPr>
          <w:pgSz w:w="11907" w:h="16840"/>
          <w:pgMar w:top="1440" w:right="1797" w:bottom="1440" w:left="1797" w:header="851" w:footer="992" w:gutter="0"/>
          <w:cols w:space="720" w:num="1"/>
          <w:docGrid w:linePitch="380" w:charSpace="0"/>
        </w:sectPr>
      </w:pPr>
    </w:p>
    <w:p>
      <w:pPr>
        <w:pStyle w:val="4"/>
        <w:ind w:firstLine="422" w:firstLineChars="200"/>
        <w:jc w:val="center"/>
        <w:rPr>
          <w:rFonts w:cs="宋体"/>
          <w:color w:val="auto"/>
          <w:kern w:val="2"/>
          <w:sz w:val="21"/>
          <w:szCs w:val="21"/>
          <w:highlight w:val="none"/>
        </w:rPr>
      </w:pPr>
      <w:bookmarkStart w:id="645" w:name="_Toc6022"/>
      <w:bookmarkStart w:id="646" w:name="_Toc91247597"/>
      <w:bookmarkStart w:id="647" w:name="_Toc24131"/>
      <w:bookmarkStart w:id="648" w:name="_Toc22279"/>
      <w:bookmarkStart w:id="649" w:name="_Toc8016"/>
      <w:bookmarkStart w:id="650" w:name="_Toc4327"/>
      <w:bookmarkStart w:id="651" w:name="_Toc22265"/>
      <w:bookmarkStart w:id="652" w:name="_Toc510206491"/>
      <w:bookmarkStart w:id="653" w:name="_Toc12002"/>
      <w:bookmarkStart w:id="654" w:name="_Toc24669"/>
      <w:bookmarkStart w:id="655" w:name="_Toc23747"/>
      <w:bookmarkStart w:id="656" w:name="_Toc26896"/>
      <w:bookmarkStart w:id="657" w:name="_Toc23534"/>
      <w:bookmarkStart w:id="658" w:name="_Toc31534"/>
      <w:bookmarkStart w:id="659" w:name="_Toc4610"/>
      <w:bookmarkStart w:id="660" w:name="_Toc16989"/>
      <w:bookmarkStart w:id="661" w:name="_Toc10078"/>
      <w:bookmarkStart w:id="662" w:name="_Toc9645"/>
      <w:bookmarkStart w:id="663" w:name="_Toc3676"/>
      <w:bookmarkStart w:id="664" w:name="_Toc2082"/>
      <w:bookmarkStart w:id="665" w:name="_Toc28010"/>
      <w:bookmarkStart w:id="666" w:name="_Toc26331"/>
      <w:bookmarkStart w:id="667" w:name="_Toc32161"/>
      <w:bookmarkStart w:id="668" w:name="_Toc16690"/>
      <w:bookmarkStart w:id="669" w:name="_Toc14322"/>
      <w:bookmarkStart w:id="670" w:name="_Toc22644"/>
      <w:bookmarkStart w:id="671" w:name="_Toc12901"/>
      <w:bookmarkStart w:id="672" w:name="_Toc17165"/>
      <w:bookmarkStart w:id="673" w:name="_Toc474832168"/>
      <w:bookmarkStart w:id="674" w:name="_Toc31941"/>
      <w:bookmarkStart w:id="675" w:name="_Toc4867"/>
      <w:bookmarkStart w:id="676" w:name="_Toc9995"/>
      <w:bookmarkStart w:id="677" w:name="_Toc20879"/>
      <w:bookmarkStart w:id="678" w:name="_Toc28879"/>
      <w:bookmarkStart w:id="679" w:name="_Toc17863"/>
      <w:bookmarkStart w:id="680" w:name="_Toc1082"/>
      <w:bookmarkStart w:id="681" w:name="_Toc28675"/>
      <w:bookmarkStart w:id="682" w:name="_Toc4814"/>
      <w:bookmarkStart w:id="683" w:name="_Toc944"/>
      <w:bookmarkStart w:id="684" w:name="_Toc20465"/>
      <w:bookmarkStart w:id="685" w:name="_Toc16875"/>
      <w:bookmarkStart w:id="686" w:name="_Toc10163"/>
      <w:bookmarkStart w:id="687" w:name="_Toc22192"/>
      <w:bookmarkStart w:id="688" w:name="_Toc18982"/>
      <w:bookmarkStart w:id="689" w:name="_Toc20318"/>
      <w:bookmarkStart w:id="690" w:name="_Toc29366"/>
      <w:bookmarkStart w:id="691" w:name="_Toc31497"/>
      <w:bookmarkStart w:id="692" w:name="_Toc3937"/>
      <w:bookmarkStart w:id="693" w:name="_Toc24128"/>
      <w:bookmarkStart w:id="694" w:name="_Toc23955"/>
      <w:bookmarkStart w:id="695" w:name="_Toc15663"/>
      <w:bookmarkStart w:id="696" w:name="_Toc21331"/>
      <w:bookmarkStart w:id="697" w:name="_Toc9021"/>
      <w:bookmarkStart w:id="698" w:name="_Toc11789"/>
      <w:bookmarkStart w:id="699" w:name="_Toc22074"/>
      <w:bookmarkStart w:id="700" w:name="_Toc17924"/>
      <w:bookmarkStart w:id="701" w:name="_Toc16993"/>
      <w:bookmarkStart w:id="702" w:name="_Toc1354"/>
      <w:bookmarkStart w:id="703" w:name="_Toc13230"/>
      <w:bookmarkStart w:id="704" w:name="_Toc19604"/>
      <w:bookmarkStart w:id="705" w:name="OLE_LINK24"/>
      <w:r>
        <w:rPr>
          <w:rFonts w:hint="eastAsia" w:cs="宋体"/>
          <w:color w:val="auto"/>
          <w:kern w:val="2"/>
          <w:sz w:val="21"/>
          <w:szCs w:val="21"/>
          <w:highlight w:val="none"/>
        </w:rPr>
        <w:t>第七章 交货进度</w:t>
      </w:r>
      <w:bookmarkEnd w:id="645"/>
      <w:bookmarkEnd w:id="646"/>
      <w:bookmarkEnd w:id="647"/>
      <w:bookmarkEnd w:id="648"/>
      <w:bookmarkEnd w:id="649"/>
      <w:bookmarkEnd w:id="650"/>
      <w:bookmarkEnd w:id="651"/>
      <w:bookmarkEnd w:id="652"/>
      <w:bookmarkEnd w:id="653"/>
      <w:bookmarkEnd w:id="654"/>
      <w:bookmarkEnd w:id="655"/>
    </w:p>
    <w:p>
      <w:pPr>
        <w:pStyle w:val="20"/>
        <w:spacing w:before="120" w:beforeLines="50" w:line="360" w:lineRule="auto"/>
        <w:rPr>
          <w:rFonts w:hAnsi="宋体" w:cs="宋体"/>
          <w:color w:val="auto"/>
          <w:kern w:val="2"/>
          <w:sz w:val="21"/>
          <w:szCs w:val="21"/>
          <w:highlight w:val="none"/>
        </w:rPr>
      </w:pPr>
      <w:r>
        <w:rPr>
          <w:rFonts w:hint="eastAsia" w:hAnsi="宋体" w:cs="宋体"/>
          <w:color w:val="auto"/>
          <w:kern w:val="2"/>
          <w:sz w:val="21"/>
          <w:szCs w:val="21"/>
          <w:highlight w:val="none"/>
        </w:rPr>
        <w:t>1  一般要求</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1.1 设备交货顺序要满足工程进度的要求。</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1.2 投标方在投标时可根据自己的实际情况，提出详细的供货顺序和进度。</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1.3下表中交货时间为到达交货地点的时间。</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1.4 交货进度表中序号要与供货清单序号一致。</w:t>
      </w:r>
    </w:p>
    <w:p>
      <w:pPr>
        <w:rPr>
          <w:rFonts w:ascii="宋体" w:hAnsi="宋体" w:cs="宋体"/>
          <w:b/>
          <w:color w:val="auto"/>
          <w:sz w:val="21"/>
          <w:szCs w:val="21"/>
          <w:highlight w:val="none"/>
        </w:rPr>
      </w:pPr>
      <w:r>
        <w:rPr>
          <w:rFonts w:hint="eastAsia" w:ascii="宋体" w:hAnsi="宋体" w:cs="宋体"/>
          <w:b/>
          <w:color w:val="auto"/>
          <w:sz w:val="21"/>
          <w:szCs w:val="21"/>
          <w:highlight w:val="none"/>
        </w:rPr>
        <w:t>2  交货进度表</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Layout w:type="fixed"/>
        <w:tblCellMar>
          <w:top w:w="0" w:type="dxa"/>
          <w:left w:w="28" w:type="dxa"/>
          <w:bottom w:w="0" w:type="dxa"/>
          <w:right w:w="28" w:type="dxa"/>
        </w:tblCellMar>
      </w:tblPr>
      <w:tblGrid>
        <w:gridCol w:w="487"/>
        <w:gridCol w:w="1478"/>
        <w:gridCol w:w="1123"/>
        <w:gridCol w:w="1761"/>
        <w:gridCol w:w="1761"/>
        <w:gridCol w:w="1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28" w:type="dxa"/>
            <w:bottom w:w="0" w:type="dxa"/>
            <w:right w:w="28" w:type="dxa"/>
          </w:tblCellMar>
        </w:tblPrEx>
        <w:trPr>
          <w:trHeight w:val="454" w:hRule="atLeast"/>
        </w:trPr>
        <w:tc>
          <w:tcPr>
            <w:tcW w:w="487"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序号</w:t>
            </w:r>
          </w:p>
        </w:tc>
        <w:tc>
          <w:tcPr>
            <w:tcW w:w="1478"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设备名称、型号</w:t>
            </w:r>
          </w:p>
        </w:tc>
        <w:tc>
          <w:tcPr>
            <w:tcW w:w="1123"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交货地点</w:t>
            </w:r>
          </w:p>
        </w:tc>
        <w:tc>
          <w:tcPr>
            <w:tcW w:w="1761"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第一批交货时间</w:t>
            </w:r>
          </w:p>
        </w:tc>
        <w:tc>
          <w:tcPr>
            <w:tcW w:w="1761"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第二批交货时间</w:t>
            </w:r>
          </w:p>
        </w:tc>
        <w:tc>
          <w:tcPr>
            <w:tcW w:w="1759"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第三批交货时间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28" w:type="dxa"/>
            <w:bottom w:w="0" w:type="dxa"/>
            <w:right w:w="28" w:type="dxa"/>
          </w:tblCellMar>
        </w:tblPrEx>
        <w:trPr>
          <w:trHeight w:val="454" w:hRule="atLeast"/>
        </w:trPr>
        <w:tc>
          <w:tcPr>
            <w:tcW w:w="487"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1</w:t>
            </w:r>
          </w:p>
        </w:tc>
        <w:tc>
          <w:tcPr>
            <w:tcW w:w="1478"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预埋件</w:t>
            </w:r>
          </w:p>
        </w:tc>
        <w:tc>
          <w:tcPr>
            <w:tcW w:w="1123" w:type="dxa"/>
            <w:vAlign w:val="center"/>
          </w:tcPr>
          <w:p>
            <w:pPr>
              <w:snapToGrid w:val="0"/>
              <w:jc w:val="center"/>
              <w:rPr>
                <w:rFonts w:ascii="宋体" w:hAnsi="宋体" w:cs="宋体"/>
                <w:snapToGrid w:val="0"/>
                <w:color w:val="auto"/>
                <w:sz w:val="18"/>
                <w:szCs w:val="18"/>
                <w:highlight w:val="none"/>
              </w:rPr>
            </w:pPr>
          </w:p>
        </w:tc>
        <w:tc>
          <w:tcPr>
            <w:tcW w:w="1761" w:type="dxa"/>
            <w:vAlign w:val="center"/>
          </w:tcPr>
          <w:p>
            <w:pPr>
              <w:snapToGrid w:val="0"/>
              <w:jc w:val="center"/>
              <w:rPr>
                <w:rFonts w:ascii="宋体" w:hAnsi="宋体" w:cs="宋体"/>
                <w:snapToGrid w:val="0"/>
                <w:color w:val="auto"/>
                <w:sz w:val="18"/>
                <w:szCs w:val="18"/>
                <w:highlight w:val="none"/>
              </w:rPr>
            </w:pPr>
          </w:p>
        </w:tc>
        <w:tc>
          <w:tcPr>
            <w:tcW w:w="1761" w:type="dxa"/>
            <w:vAlign w:val="center"/>
          </w:tcPr>
          <w:p>
            <w:pPr>
              <w:snapToGrid w:val="0"/>
              <w:jc w:val="center"/>
              <w:rPr>
                <w:rFonts w:ascii="宋体" w:hAnsi="宋体" w:cs="宋体"/>
                <w:snapToGrid w:val="0"/>
                <w:color w:val="auto"/>
                <w:sz w:val="18"/>
                <w:szCs w:val="18"/>
                <w:highlight w:val="none"/>
              </w:rPr>
            </w:pPr>
          </w:p>
        </w:tc>
        <w:tc>
          <w:tcPr>
            <w:tcW w:w="1759" w:type="dxa"/>
            <w:vAlign w:val="center"/>
          </w:tcPr>
          <w:p>
            <w:pPr>
              <w:snapToGrid w:val="0"/>
              <w:jc w:val="center"/>
              <w:rPr>
                <w:rFonts w:ascii="宋体" w:hAnsi="宋体" w:cs="宋体"/>
                <w:snapToGrid w:val="0"/>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28" w:type="dxa"/>
            <w:bottom w:w="0" w:type="dxa"/>
            <w:right w:w="28" w:type="dxa"/>
          </w:tblCellMar>
        </w:tblPrEx>
        <w:trPr>
          <w:trHeight w:val="454" w:hRule="atLeast"/>
        </w:trPr>
        <w:tc>
          <w:tcPr>
            <w:tcW w:w="487"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2</w:t>
            </w:r>
          </w:p>
        </w:tc>
        <w:tc>
          <w:tcPr>
            <w:tcW w:w="1478"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设备本体</w:t>
            </w:r>
          </w:p>
        </w:tc>
        <w:tc>
          <w:tcPr>
            <w:tcW w:w="1123" w:type="dxa"/>
            <w:vAlign w:val="center"/>
          </w:tcPr>
          <w:p>
            <w:pPr>
              <w:snapToGrid w:val="0"/>
              <w:jc w:val="center"/>
              <w:rPr>
                <w:rFonts w:ascii="宋体" w:hAnsi="宋体" w:cs="宋体"/>
                <w:snapToGrid w:val="0"/>
                <w:color w:val="auto"/>
                <w:sz w:val="18"/>
                <w:szCs w:val="18"/>
                <w:highlight w:val="none"/>
              </w:rPr>
            </w:pPr>
          </w:p>
        </w:tc>
        <w:tc>
          <w:tcPr>
            <w:tcW w:w="1761" w:type="dxa"/>
            <w:vAlign w:val="center"/>
          </w:tcPr>
          <w:p>
            <w:pPr>
              <w:snapToGrid w:val="0"/>
              <w:jc w:val="center"/>
              <w:rPr>
                <w:rFonts w:ascii="宋体" w:hAnsi="宋体" w:cs="宋体"/>
                <w:snapToGrid w:val="0"/>
                <w:color w:val="auto"/>
                <w:sz w:val="18"/>
                <w:szCs w:val="18"/>
                <w:highlight w:val="none"/>
              </w:rPr>
            </w:pPr>
          </w:p>
        </w:tc>
        <w:tc>
          <w:tcPr>
            <w:tcW w:w="1761" w:type="dxa"/>
            <w:vAlign w:val="center"/>
          </w:tcPr>
          <w:p>
            <w:pPr>
              <w:snapToGrid w:val="0"/>
              <w:jc w:val="center"/>
              <w:rPr>
                <w:rFonts w:ascii="宋体" w:hAnsi="宋体" w:cs="宋体"/>
                <w:snapToGrid w:val="0"/>
                <w:color w:val="auto"/>
                <w:sz w:val="18"/>
                <w:szCs w:val="18"/>
                <w:highlight w:val="none"/>
              </w:rPr>
            </w:pPr>
          </w:p>
        </w:tc>
        <w:tc>
          <w:tcPr>
            <w:tcW w:w="1759" w:type="dxa"/>
            <w:vAlign w:val="center"/>
          </w:tcPr>
          <w:p>
            <w:pPr>
              <w:snapToGrid w:val="0"/>
              <w:jc w:val="center"/>
              <w:rPr>
                <w:rFonts w:ascii="宋体" w:hAnsi="宋体" w:cs="宋体"/>
                <w:snapToGrid w:val="0"/>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28" w:type="dxa"/>
            <w:bottom w:w="0" w:type="dxa"/>
            <w:right w:w="28" w:type="dxa"/>
          </w:tblCellMar>
        </w:tblPrEx>
        <w:trPr>
          <w:trHeight w:val="454" w:hRule="atLeast"/>
        </w:trPr>
        <w:tc>
          <w:tcPr>
            <w:tcW w:w="487"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3</w:t>
            </w:r>
          </w:p>
        </w:tc>
        <w:tc>
          <w:tcPr>
            <w:tcW w:w="1478"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备品备件</w:t>
            </w:r>
          </w:p>
        </w:tc>
        <w:tc>
          <w:tcPr>
            <w:tcW w:w="1123" w:type="dxa"/>
            <w:vAlign w:val="center"/>
          </w:tcPr>
          <w:p>
            <w:pPr>
              <w:snapToGrid w:val="0"/>
              <w:jc w:val="center"/>
              <w:rPr>
                <w:rFonts w:ascii="宋体" w:hAnsi="宋体" w:cs="宋体"/>
                <w:snapToGrid w:val="0"/>
                <w:color w:val="auto"/>
                <w:sz w:val="18"/>
                <w:szCs w:val="18"/>
                <w:highlight w:val="none"/>
              </w:rPr>
            </w:pPr>
          </w:p>
        </w:tc>
        <w:tc>
          <w:tcPr>
            <w:tcW w:w="1761" w:type="dxa"/>
            <w:vAlign w:val="center"/>
          </w:tcPr>
          <w:p>
            <w:pPr>
              <w:snapToGrid w:val="0"/>
              <w:jc w:val="center"/>
              <w:rPr>
                <w:rFonts w:ascii="宋体" w:hAnsi="宋体" w:cs="宋体"/>
                <w:snapToGrid w:val="0"/>
                <w:color w:val="auto"/>
                <w:sz w:val="18"/>
                <w:szCs w:val="18"/>
                <w:highlight w:val="none"/>
              </w:rPr>
            </w:pPr>
          </w:p>
        </w:tc>
        <w:tc>
          <w:tcPr>
            <w:tcW w:w="1761" w:type="dxa"/>
            <w:vAlign w:val="center"/>
          </w:tcPr>
          <w:p>
            <w:pPr>
              <w:snapToGrid w:val="0"/>
              <w:jc w:val="center"/>
              <w:rPr>
                <w:rFonts w:ascii="宋体" w:hAnsi="宋体" w:cs="宋体"/>
                <w:snapToGrid w:val="0"/>
                <w:color w:val="auto"/>
                <w:sz w:val="18"/>
                <w:szCs w:val="18"/>
                <w:highlight w:val="none"/>
              </w:rPr>
            </w:pPr>
          </w:p>
        </w:tc>
        <w:tc>
          <w:tcPr>
            <w:tcW w:w="1759" w:type="dxa"/>
            <w:vAlign w:val="center"/>
          </w:tcPr>
          <w:p>
            <w:pPr>
              <w:snapToGrid w:val="0"/>
              <w:jc w:val="center"/>
              <w:rPr>
                <w:rFonts w:ascii="宋体" w:hAnsi="宋体" w:cs="宋体"/>
                <w:snapToGrid w:val="0"/>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0" w:type="dxa"/>
            <w:left w:w="28" w:type="dxa"/>
            <w:bottom w:w="0" w:type="dxa"/>
            <w:right w:w="28" w:type="dxa"/>
          </w:tblCellMar>
        </w:tblPrEx>
        <w:trPr>
          <w:trHeight w:val="454" w:hRule="atLeast"/>
        </w:trPr>
        <w:tc>
          <w:tcPr>
            <w:tcW w:w="487"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4</w:t>
            </w:r>
          </w:p>
        </w:tc>
        <w:tc>
          <w:tcPr>
            <w:tcW w:w="1478"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专用工具</w:t>
            </w:r>
          </w:p>
        </w:tc>
        <w:tc>
          <w:tcPr>
            <w:tcW w:w="1123" w:type="dxa"/>
            <w:vAlign w:val="center"/>
          </w:tcPr>
          <w:p>
            <w:pPr>
              <w:snapToGrid w:val="0"/>
              <w:jc w:val="center"/>
              <w:rPr>
                <w:rFonts w:ascii="宋体" w:hAnsi="宋体" w:cs="宋体"/>
                <w:snapToGrid w:val="0"/>
                <w:color w:val="auto"/>
                <w:sz w:val="18"/>
                <w:szCs w:val="18"/>
                <w:highlight w:val="none"/>
              </w:rPr>
            </w:pPr>
          </w:p>
        </w:tc>
        <w:tc>
          <w:tcPr>
            <w:tcW w:w="1761" w:type="dxa"/>
            <w:vAlign w:val="center"/>
          </w:tcPr>
          <w:p>
            <w:pPr>
              <w:snapToGrid w:val="0"/>
              <w:jc w:val="center"/>
              <w:rPr>
                <w:rFonts w:ascii="宋体" w:hAnsi="宋体" w:cs="宋体"/>
                <w:snapToGrid w:val="0"/>
                <w:color w:val="auto"/>
                <w:sz w:val="18"/>
                <w:szCs w:val="18"/>
                <w:highlight w:val="none"/>
              </w:rPr>
            </w:pPr>
          </w:p>
        </w:tc>
        <w:tc>
          <w:tcPr>
            <w:tcW w:w="1761" w:type="dxa"/>
            <w:vAlign w:val="center"/>
          </w:tcPr>
          <w:p>
            <w:pPr>
              <w:snapToGrid w:val="0"/>
              <w:jc w:val="center"/>
              <w:rPr>
                <w:rFonts w:ascii="宋体" w:hAnsi="宋体" w:cs="宋体"/>
                <w:snapToGrid w:val="0"/>
                <w:color w:val="auto"/>
                <w:sz w:val="18"/>
                <w:szCs w:val="18"/>
                <w:highlight w:val="none"/>
              </w:rPr>
            </w:pPr>
          </w:p>
        </w:tc>
        <w:tc>
          <w:tcPr>
            <w:tcW w:w="1759" w:type="dxa"/>
            <w:vAlign w:val="center"/>
          </w:tcPr>
          <w:p>
            <w:pPr>
              <w:snapToGrid w:val="0"/>
              <w:jc w:val="center"/>
              <w:rPr>
                <w:rFonts w:ascii="宋体" w:hAnsi="宋体" w:cs="宋体"/>
                <w:snapToGrid w:val="0"/>
                <w:color w:val="auto"/>
                <w:sz w:val="18"/>
                <w:szCs w:val="18"/>
                <w:highlight w:val="none"/>
              </w:rPr>
            </w:pPr>
          </w:p>
        </w:tc>
      </w:tr>
    </w:tbl>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说明：</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（1）备品备件及专用工具随第一批的设备同期到货。</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（2）设备预埋件及地脚螺栓随第一批的设备同期到货。</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（3）本交货计划供招标使用，具体交货时间可能随施工计划和其它条件而改变，投标方应满足工程进度要求。</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（4）投标方在投标时可根据自己的实际情况，针对本项目提出详细的供货顺序和进度。</w:t>
      </w:r>
    </w:p>
    <w:p>
      <w:pPr>
        <w:pStyle w:val="4"/>
        <w:ind w:firstLine="422" w:firstLineChars="200"/>
        <w:jc w:val="center"/>
        <w:rPr>
          <w:rFonts w:cs="宋体"/>
          <w:color w:val="auto"/>
          <w:sz w:val="21"/>
          <w:szCs w:val="21"/>
          <w:highlight w:val="none"/>
        </w:rPr>
      </w:pPr>
      <w:bookmarkStart w:id="706" w:name="_Toc11269"/>
      <w:bookmarkStart w:id="707" w:name="_Toc31986"/>
      <w:r>
        <w:rPr>
          <w:rFonts w:hint="eastAsia" w:cs="宋体"/>
          <w:color w:val="auto"/>
          <w:sz w:val="21"/>
          <w:szCs w:val="21"/>
          <w:highlight w:val="none"/>
        </w:rPr>
        <w:br w:type="page"/>
      </w:r>
      <w:bookmarkStart w:id="708" w:name="_Toc571"/>
      <w:bookmarkStart w:id="709" w:name="_Toc21901"/>
      <w:bookmarkStart w:id="710" w:name="_Toc14090"/>
      <w:bookmarkStart w:id="711" w:name="_Toc18789"/>
      <w:bookmarkStart w:id="712" w:name="_Toc91247598"/>
      <w:bookmarkStart w:id="713" w:name="_Toc22442"/>
      <w:bookmarkStart w:id="714" w:name="_Toc15927"/>
      <w:bookmarkStart w:id="715" w:name="_Toc32110"/>
      <w:r>
        <w:rPr>
          <w:rFonts w:hint="eastAsia" w:cs="宋体"/>
          <w:color w:val="auto"/>
          <w:kern w:val="2"/>
          <w:sz w:val="21"/>
          <w:szCs w:val="21"/>
          <w:highlight w:val="none"/>
        </w:rPr>
        <w:t>第八章 性能验收试验</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6"/>
      <w:bookmarkEnd w:id="707"/>
      <w:bookmarkEnd w:id="708"/>
      <w:bookmarkEnd w:id="709"/>
      <w:bookmarkEnd w:id="710"/>
      <w:bookmarkEnd w:id="711"/>
      <w:bookmarkEnd w:id="712"/>
      <w:bookmarkEnd w:id="713"/>
      <w:bookmarkEnd w:id="714"/>
      <w:bookmarkEnd w:id="715"/>
    </w:p>
    <w:p>
      <w:pPr>
        <w:tabs>
          <w:tab w:val="left" w:pos="360"/>
        </w:tabs>
        <w:spacing w:before="120" w:after="120"/>
        <w:rPr>
          <w:rFonts w:ascii="宋体" w:hAnsi="宋体" w:cs="宋体"/>
          <w:b/>
          <w:color w:val="auto"/>
          <w:sz w:val="21"/>
          <w:szCs w:val="21"/>
          <w:highlight w:val="none"/>
        </w:rPr>
      </w:pPr>
      <w:bookmarkStart w:id="716" w:name="_Toc311451317"/>
      <w:r>
        <w:rPr>
          <w:rFonts w:hint="eastAsia" w:ascii="宋体" w:hAnsi="宋体" w:cs="宋体"/>
          <w:b/>
          <w:color w:val="auto"/>
          <w:sz w:val="21"/>
          <w:szCs w:val="21"/>
          <w:highlight w:val="none"/>
        </w:rPr>
        <w:t>1  概述</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1.1 本附件用于对投标方所提供的设备（包括对分包外购设备）进行性能验收试验，确保投标方所提供的设备符合相关规范的要求。</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1.2 投标方应在本合同生效后半个月内，向招标方提供与本合同设备有关的性能验收试验标准。</w:t>
      </w:r>
    </w:p>
    <w:p>
      <w:pPr>
        <w:spacing w:before="120" w:beforeLines="50" w:after="120" w:afterLines="50"/>
        <w:rPr>
          <w:rFonts w:ascii="宋体" w:hAnsi="宋体" w:cs="宋体"/>
          <w:b/>
          <w:color w:val="auto"/>
          <w:sz w:val="21"/>
          <w:szCs w:val="21"/>
          <w:highlight w:val="none"/>
        </w:rPr>
      </w:pPr>
      <w:r>
        <w:rPr>
          <w:rFonts w:hint="eastAsia" w:ascii="宋体" w:hAnsi="宋体" w:cs="宋体"/>
          <w:b/>
          <w:color w:val="auto"/>
          <w:sz w:val="21"/>
          <w:szCs w:val="21"/>
          <w:highlight w:val="none"/>
        </w:rPr>
        <w:t>2  性能验收试验的内容</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2.1 性能验收试验的目的为了检验合同设备及其附属设备的所有性能是否符合技术性能的要求。</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2.2 性能验收试验的地点由买卖双方商定，一般为招标方现场。</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2.3 性能验收试验的具体时间由投标方与招标方协商确定。</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2.4 性能验收试验由招标方主持，投标方参加。试验大纲由招标方提供，与投标方讨论后确定，具体试验由投标方与招标方共同认可的测试单位进行。</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2.5 性能验收试验的内容：按本技术协议的要求和国家有关规定进行。</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 xml:space="preserve">2.6 性能验收试验的标准和方法：按本技术协议的要求和国家有关规定进行。 </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2.7 性能验收试验所需的测点、一次元件和就地仪表的装设都应由投标方提供，招标方提供配合。同时投标方还应提供试验所需的技术配合和人员配合。</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2.8性能验收试验费用</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投标方试验的配合等费用已在合同总价内。其它费用，如试验在现场进行，由招标方承担；在投标方工厂进行，则已包含于合同总价之中。</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2.9 性能验收试验结果的确认： 性能验收试验报告以招标方为主编写，投标方派员参加，共同签字确认结论。如双方对试验的结果有不一致意见，双方协商解决；如仍不能达成一致，则提交双方上级部门协商。进行性能验收试验时，一方接到另一方试验通知而不派人参加试验，则被视为对验收试验结果的同意，并进行确认签字盖章。</w:t>
      </w:r>
    </w:p>
    <w:bookmarkEnd w:id="716"/>
    <w:p>
      <w:pPr>
        <w:pStyle w:val="18"/>
        <w:rPr>
          <w:rFonts w:hAnsi="宋体" w:cs="宋体"/>
          <w:color w:val="auto"/>
          <w:szCs w:val="21"/>
          <w:highlight w:val="none"/>
        </w:rPr>
      </w:pPr>
    </w:p>
    <w:p>
      <w:pPr>
        <w:pStyle w:val="4"/>
        <w:ind w:firstLine="422" w:firstLineChars="200"/>
        <w:jc w:val="center"/>
        <w:rPr>
          <w:rFonts w:cs="宋体"/>
          <w:color w:val="auto"/>
          <w:kern w:val="2"/>
          <w:sz w:val="21"/>
          <w:szCs w:val="21"/>
          <w:highlight w:val="none"/>
        </w:rPr>
      </w:pPr>
      <w:r>
        <w:rPr>
          <w:rFonts w:hint="eastAsia" w:cs="宋体"/>
          <w:color w:val="auto"/>
          <w:sz w:val="21"/>
          <w:szCs w:val="21"/>
          <w:highlight w:val="none"/>
        </w:rPr>
        <w:br w:type="page"/>
      </w:r>
      <w:bookmarkStart w:id="717" w:name="_Toc10184"/>
      <w:bookmarkStart w:id="718" w:name="_Toc18123"/>
      <w:bookmarkStart w:id="719" w:name="_Toc15492"/>
      <w:bookmarkStart w:id="720" w:name="_Toc24588"/>
      <w:bookmarkStart w:id="721" w:name="_Toc11014"/>
      <w:bookmarkStart w:id="722" w:name="_Toc40"/>
      <w:bookmarkStart w:id="723" w:name="_Toc3746"/>
      <w:bookmarkStart w:id="724" w:name="_Toc28862"/>
      <w:bookmarkStart w:id="725" w:name="_Toc9633"/>
      <w:bookmarkStart w:id="726" w:name="_Toc26829"/>
      <w:bookmarkStart w:id="727" w:name="_Toc8551"/>
      <w:bookmarkStart w:id="728" w:name="_Toc17594"/>
      <w:bookmarkStart w:id="729" w:name="_Toc20678"/>
      <w:bookmarkStart w:id="730" w:name="_Toc22512"/>
      <w:bookmarkStart w:id="731" w:name="_Toc14768"/>
      <w:bookmarkStart w:id="732" w:name="_Toc8294"/>
      <w:bookmarkStart w:id="733" w:name="_Toc91247599"/>
      <w:bookmarkStart w:id="734" w:name="_Toc29485"/>
      <w:bookmarkStart w:id="735" w:name="_Toc474832172"/>
      <w:bookmarkStart w:id="736" w:name="_Toc31894"/>
      <w:bookmarkStart w:id="737" w:name="_Toc14249"/>
      <w:bookmarkStart w:id="738" w:name="_Toc30676"/>
      <w:bookmarkStart w:id="739" w:name="_Toc20643"/>
      <w:bookmarkStart w:id="740" w:name="_Toc28918"/>
      <w:bookmarkStart w:id="741" w:name="_Toc8300"/>
      <w:bookmarkStart w:id="742" w:name="_Toc30890"/>
      <w:bookmarkStart w:id="743" w:name="_Toc13274"/>
      <w:bookmarkStart w:id="744" w:name="_Toc19895"/>
      <w:bookmarkStart w:id="745" w:name="_Toc3763"/>
      <w:bookmarkStart w:id="746" w:name="_Toc24790"/>
      <w:bookmarkStart w:id="747" w:name="_Toc19389"/>
      <w:bookmarkStart w:id="748" w:name="_Toc28231"/>
      <w:bookmarkStart w:id="749" w:name="_Toc9418"/>
      <w:bookmarkStart w:id="750" w:name="_Toc9646"/>
      <w:bookmarkStart w:id="751" w:name="_Toc18713"/>
      <w:bookmarkStart w:id="752" w:name="_Toc26005"/>
      <w:bookmarkStart w:id="753" w:name="_Toc4022"/>
      <w:bookmarkStart w:id="754" w:name="_Toc28831"/>
      <w:bookmarkStart w:id="755" w:name="_Toc13605"/>
      <w:bookmarkStart w:id="756" w:name="_Toc21286"/>
      <w:bookmarkStart w:id="757" w:name="_Toc27127"/>
      <w:bookmarkStart w:id="758" w:name="_Toc4493"/>
      <w:bookmarkStart w:id="759" w:name="_Toc7285"/>
      <w:bookmarkStart w:id="760" w:name="_Toc14988"/>
      <w:bookmarkStart w:id="761" w:name="_Toc28711"/>
      <w:bookmarkStart w:id="762" w:name="_Toc32296"/>
      <w:bookmarkStart w:id="763" w:name="_Toc16042"/>
      <w:bookmarkStart w:id="764" w:name="_Toc14743"/>
      <w:bookmarkStart w:id="765" w:name="_Toc22982"/>
      <w:bookmarkStart w:id="766" w:name="_Toc29640"/>
      <w:bookmarkStart w:id="767" w:name="_Toc15495"/>
      <w:bookmarkStart w:id="768" w:name="_Toc12384"/>
      <w:bookmarkStart w:id="769" w:name="_Toc509633014"/>
      <w:bookmarkStart w:id="770" w:name="_Toc4864"/>
      <w:bookmarkStart w:id="771" w:name="_Toc29654"/>
      <w:bookmarkStart w:id="772" w:name="_Toc13804"/>
      <w:bookmarkStart w:id="773" w:name="_Toc311451319"/>
      <w:bookmarkStart w:id="774" w:name="_Toc509576603"/>
      <w:bookmarkStart w:id="775" w:name="_Toc17751"/>
      <w:bookmarkStart w:id="776" w:name="_Toc28311"/>
      <w:bookmarkStart w:id="777" w:name="_Toc22062"/>
      <w:bookmarkStart w:id="778" w:name="_Toc509479388"/>
      <w:bookmarkStart w:id="779" w:name="_Toc10090"/>
      <w:bookmarkStart w:id="780" w:name="_Toc509562810"/>
      <w:bookmarkStart w:id="781" w:name="_Toc509479847"/>
      <w:bookmarkStart w:id="782" w:name="_Toc509562821"/>
      <w:bookmarkStart w:id="783" w:name="_Toc509632914"/>
      <w:bookmarkStart w:id="784" w:name="_Toc10193"/>
      <w:bookmarkStart w:id="785" w:name="_Toc509576614"/>
      <w:bookmarkStart w:id="786" w:name="_Toc32431"/>
      <w:bookmarkStart w:id="787" w:name="_Toc5332"/>
      <w:bookmarkStart w:id="788" w:name="_Toc509479859"/>
      <w:bookmarkStart w:id="789" w:name="_Toc9303"/>
      <w:bookmarkStart w:id="790" w:name="_Toc509632902"/>
      <w:bookmarkStart w:id="791" w:name="_Toc509490630"/>
      <w:bookmarkStart w:id="792" w:name="_Toc502151830"/>
      <w:bookmarkStart w:id="793" w:name="_Toc17631"/>
      <w:bookmarkStart w:id="794" w:name="_Toc509479400"/>
      <w:bookmarkStart w:id="795" w:name="_Toc30164"/>
      <w:bookmarkStart w:id="796" w:name="_Toc509490619"/>
      <w:bookmarkStart w:id="797" w:name="_Toc509633026"/>
      <w:r>
        <w:rPr>
          <w:rFonts w:hint="eastAsia" w:cs="宋体"/>
          <w:color w:val="auto"/>
          <w:kern w:val="2"/>
          <w:sz w:val="21"/>
          <w:szCs w:val="21"/>
          <w:highlight w:val="none"/>
        </w:rPr>
        <w:t>第九章 技术服务、设计联络</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pPr>
        <w:pStyle w:val="5"/>
        <w:rPr>
          <w:rFonts w:cs="宋体"/>
          <w:color w:val="auto"/>
          <w:sz w:val="21"/>
          <w:szCs w:val="21"/>
          <w:highlight w:val="none"/>
        </w:rPr>
      </w:pPr>
      <w:bookmarkStart w:id="798" w:name="_Toc296"/>
      <w:bookmarkStart w:id="799" w:name="_Toc2799"/>
      <w:bookmarkStart w:id="800" w:name="_Toc20694"/>
      <w:bookmarkStart w:id="801" w:name="_Toc6100"/>
      <w:bookmarkStart w:id="802" w:name="_Toc6245"/>
      <w:bookmarkStart w:id="803" w:name="_Toc26786"/>
      <w:bookmarkStart w:id="804" w:name="_Toc30582"/>
      <w:bookmarkStart w:id="805" w:name="_Toc31904"/>
      <w:bookmarkStart w:id="806" w:name="_Toc32209"/>
      <w:bookmarkStart w:id="807" w:name="_Toc31406"/>
      <w:bookmarkStart w:id="808" w:name="_Toc15479"/>
      <w:bookmarkStart w:id="809" w:name="_Toc27741"/>
      <w:bookmarkStart w:id="810" w:name="_Toc27695"/>
      <w:bookmarkStart w:id="811" w:name="_Toc25162"/>
      <w:bookmarkStart w:id="812" w:name="_Toc11537"/>
      <w:bookmarkStart w:id="813" w:name="_Toc5369"/>
      <w:bookmarkStart w:id="814" w:name="_Toc16617"/>
      <w:bookmarkStart w:id="815" w:name="_Toc28669"/>
      <w:bookmarkStart w:id="816" w:name="_Toc1482"/>
      <w:bookmarkStart w:id="817" w:name="_Toc91247600"/>
      <w:bookmarkStart w:id="818" w:name="_Toc22337"/>
      <w:bookmarkStart w:id="819" w:name="_Toc9824"/>
      <w:bookmarkStart w:id="820" w:name="_Toc16350"/>
      <w:bookmarkStart w:id="821" w:name="_Toc14603"/>
      <w:bookmarkStart w:id="822" w:name="_Toc24623"/>
      <w:bookmarkStart w:id="823" w:name="_Toc16862"/>
      <w:bookmarkStart w:id="824" w:name="_Toc22896"/>
      <w:bookmarkStart w:id="825" w:name="_Toc4125"/>
      <w:bookmarkStart w:id="826" w:name="_Toc31872"/>
      <w:bookmarkStart w:id="827" w:name="_Toc474832173"/>
      <w:bookmarkStart w:id="828" w:name="_Toc16571"/>
      <w:bookmarkStart w:id="829" w:name="_Toc10391"/>
      <w:bookmarkStart w:id="830" w:name="_Toc20719"/>
      <w:bookmarkStart w:id="831" w:name="_Toc32495"/>
      <w:r>
        <w:rPr>
          <w:rFonts w:hint="eastAsia" w:cs="宋体"/>
          <w:color w:val="auto"/>
          <w:sz w:val="21"/>
          <w:szCs w:val="21"/>
          <w:highlight w:val="none"/>
        </w:rPr>
        <w:t>1 技术服务</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投保方应保证如因投标方现场服务人员指导错误而出现质量问题，投标方应负全部责任。</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1.1 投标方现场技术服务的目的是保证所提供的合同设备安全、正常投运。投标方应派出合格的、能独立解决问题的现场服务人员。投标方提供的包括服务人天数的现场服务表应能满足工程需要。如果由于投标方的原因，下表中的人天数不能满足工程需要，招标方有权追加人天数，且发生的费用由投标方承担；如果由于招标方的原因，下表中的人天数不能满足工程需要，招标方要求追加人天数，投标方应满足招标方的要求。</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1.2 投标方服务人员的一切费用已包含在合同总价中，它包括诸如服务人员的工资及各种补助、交通费、通讯费、食宿费、医疗费、各种保险费、各种税费，等等。</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1.3 现场服务人员的工作时间应与现场要求相一致，以满足现场安装、调试和试运行的要求。招标方不再因投标方现场服务人员的加班和节假日而另付费用。</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1.4 未经招标方同意，投标方不应随意更换现场服务人员。同时，投标方应及时更换招标方认为不合格的投标方现场服务人员。</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1.5 下述现场服务表中的天数均为现场服务人员人天数。</w:t>
      </w:r>
    </w:p>
    <w:p>
      <w:pPr>
        <w:ind w:left="48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现场服务计划表 </w:t>
      </w:r>
    </w:p>
    <w:tbl>
      <w:tblPr>
        <w:tblStyle w:val="34"/>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83"/>
        <w:gridCol w:w="1861"/>
        <w:gridCol w:w="1960"/>
        <w:gridCol w:w="1175"/>
        <w:gridCol w:w="1177"/>
        <w:gridCol w:w="14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783" w:type="dxa"/>
            <w:vMerge w:val="restart"/>
            <w:tcBorders>
              <w:top w:val="single" w:color="auto" w:sz="6" w:space="0"/>
              <w:left w:val="single" w:color="auto" w:sz="6" w:space="0"/>
              <w:bottom w:val="nil"/>
              <w:right w:val="single" w:color="auto" w:sz="6" w:space="0"/>
            </w:tcBorders>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序号</w:t>
            </w:r>
          </w:p>
        </w:tc>
        <w:tc>
          <w:tcPr>
            <w:tcW w:w="1861" w:type="dxa"/>
            <w:vMerge w:val="restart"/>
            <w:tcBorders>
              <w:top w:val="single" w:color="auto" w:sz="6" w:space="0"/>
              <w:left w:val="nil"/>
              <w:bottom w:val="nil"/>
              <w:right w:val="single" w:color="auto" w:sz="6" w:space="0"/>
            </w:tcBorders>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技术服务内容</w:t>
            </w:r>
          </w:p>
        </w:tc>
        <w:tc>
          <w:tcPr>
            <w:tcW w:w="1960" w:type="dxa"/>
            <w:vMerge w:val="restart"/>
            <w:tcBorders>
              <w:top w:val="single" w:color="auto" w:sz="6" w:space="0"/>
              <w:left w:val="nil"/>
              <w:bottom w:val="nil"/>
              <w:right w:val="single" w:color="auto" w:sz="6" w:space="0"/>
            </w:tcBorders>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计划人日数</w:t>
            </w:r>
          </w:p>
        </w:tc>
        <w:tc>
          <w:tcPr>
            <w:tcW w:w="2352" w:type="dxa"/>
            <w:gridSpan w:val="2"/>
            <w:tcBorders>
              <w:top w:val="single" w:color="auto" w:sz="6" w:space="0"/>
              <w:left w:val="nil"/>
              <w:bottom w:val="single" w:color="auto" w:sz="6" w:space="0"/>
              <w:right w:val="nil"/>
            </w:tcBorders>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派出人员构成</w:t>
            </w:r>
          </w:p>
        </w:tc>
        <w:tc>
          <w:tcPr>
            <w:tcW w:w="1413" w:type="dxa"/>
            <w:vMerge w:val="restart"/>
            <w:tcBorders>
              <w:top w:val="single" w:color="auto" w:sz="6" w:space="0"/>
              <w:left w:val="single" w:color="auto" w:sz="6" w:space="0"/>
              <w:right w:val="single" w:color="auto" w:sz="6" w:space="0"/>
            </w:tcBorders>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783" w:type="dxa"/>
            <w:vMerge w:val="continue"/>
            <w:tcBorders>
              <w:top w:val="nil"/>
              <w:left w:val="single" w:color="auto" w:sz="6" w:space="0"/>
              <w:bottom w:val="single" w:color="auto" w:sz="6" w:space="0"/>
              <w:right w:val="single" w:color="auto" w:sz="6" w:space="0"/>
            </w:tcBorders>
          </w:tcPr>
          <w:p>
            <w:pPr>
              <w:snapToGrid w:val="0"/>
              <w:jc w:val="center"/>
              <w:rPr>
                <w:rFonts w:ascii="宋体" w:hAnsi="宋体" w:cs="宋体"/>
                <w:snapToGrid w:val="0"/>
                <w:color w:val="auto"/>
                <w:sz w:val="18"/>
                <w:szCs w:val="18"/>
                <w:highlight w:val="none"/>
              </w:rPr>
            </w:pPr>
          </w:p>
        </w:tc>
        <w:tc>
          <w:tcPr>
            <w:tcW w:w="1861" w:type="dxa"/>
            <w:vMerge w:val="continue"/>
            <w:tcBorders>
              <w:top w:val="nil"/>
              <w:left w:val="nil"/>
              <w:bottom w:val="single" w:color="auto" w:sz="6" w:space="0"/>
              <w:right w:val="single" w:color="auto" w:sz="6" w:space="0"/>
            </w:tcBorders>
          </w:tcPr>
          <w:p>
            <w:pPr>
              <w:snapToGrid w:val="0"/>
              <w:jc w:val="center"/>
              <w:rPr>
                <w:rFonts w:ascii="宋体" w:hAnsi="宋体" w:cs="宋体"/>
                <w:snapToGrid w:val="0"/>
                <w:color w:val="auto"/>
                <w:sz w:val="18"/>
                <w:szCs w:val="18"/>
                <w:highlight w:val="none"/>
              </w:rPr>
            </w:pPr>
          </w:p>
        </w:tc>
        <w:tc>
          <w:tcPr>
            <w:tcW w:w="1960" w:type="dxa"/>
            <w:vMerge w:val="continue"/>
            <w:tcBorders>
              <w:top w:val="nil"/>
              <w:left w:val="nil"/>
              <w:bottom w:val="single" w:color="auto" w:sz="6" w:space="0"/>
              <w:right w:val="single" w:color="auto" w:sz="6" w:space="0"/>
            </w:tcBorders>
          </w:tcPr>
          <w:p>
            <w:pPr>
              <w:snapToGrid w:val="0"/>
              <w:jc w:val="center"/>
              <w:rPr>
                <w:rFonts w:ascii="宋体" w:hAnsi="宋体" w:cs="宋体"/>
                <w:snapToGrid w:val="0"/>
                <w:color w:val="auto"/>
                <w:sz w:val="18"/>
                <w:szCs w:val="18"/>
                <w:highlight w:val="none"/>
              </w:rPr>
            </w:pPr>
          </w:p>
        </w:tc>
        <w:tc>
          <w:tcPr>
            <w:tcW w:w="1175" w:type="dxa"/>
            <w:tcBorders>
              <w:top w:val="nil"/>
              <w:left w:val="nil"/>
              <w:bottom w:val="single" w:color="000000" w:sz="6" w:space="0"/>
              <w:right w:val="single" w:color="000000" w:sz="6" w:space="0"/>
            </w:tcBorders>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 xml:space="preserve">职称  </w:t>
            </w:r>
          </w:p>
        </w:tc>
        <w:tc>
          <w:tcPr>
            <w:tcW w:w="1177" w:type="dxa"/>
            <w:tcBorders>
              <w:top w:val="nil"/>
              <w:left w:val="single" w:color="000000" w:sz="6" w:space="0"/>
              <w:bottom w:val="single" w:color="000000" w:sz="6" w:space="0"/>
              <w:right w:val="nil"/>
            </w:tcBorders>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 xml:space="preserve">人数 </w:t>
            </w:r>
          </w:p>
        </w:tc>
        <w:tc>
          <w:tcPr>
            <w:tcW w:w="1413" w:type="dxa"/>
            <w:vMerge w:val="continue"/>
            <w:tcBorders>
              <w:left w:val="single" w:color="auto" w:sz="6" w:space="0"/>
              <w:bottom w:val="single" w:color="auto" w:sz="6" w:space="0"/>
              <w:right w:val="single" w:color="auto" w:sz="6" w:space="0"/>
            </w:tcBorders>
          </w:tcPr>
          <w:p>
            <w:pPr>
              <w:snapToGrid w:val="0"/>
              <w:jc w:val="center"/>
              <w:rPr>
                <w:rFonts w:ascii="宋体" w:hAnsi="宋体" w:cs="宋体"/>
                <w:snapToGrid w:val="0"/>
                <w:color w:val="auto"/>
                <w:sz w:val="18"/>
                <w:szCs w:val="1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783" w:type="dxa"/>
            <w:tcBorders>
              <w:top w:val="nil"/>
              <w:left w:val="single" w:color="000000" w:sz="6" w:space="0"/>
              <w:bottom w:val="single" w:color="000000" w:sz="6" w:space="0"/>
              <w:right w:val="single" w:color="000000" w:sz="6" w:space="0"/>
            </w:tcBorders>
            <w:vAlign w:val="center"/>
          </w:tcPr>
          <w:p>
            <w:pPr>
              <w:snapToGrid w:val="0"/>
              <w:jc w:val="center"/>
              <w:rPr>
                <w:rFonts w:ascii="宋体" w:hAnsi="宋体" w:cs="宋体"/>
                <w:snapToGrid w:val="0"/>
                <w:color w:val="auto"/>
                <w:sz w:val="18"/>
                <w:szCs w:val="18"/>
                <w:highlight w:val="none"/>
              </w:rPr>
            </w:pPr>
          </w:p>
        </w:tc>
        <w:tc>
          <w:tcPr>
            <w:tcW w:w="1861" w:type="dxa"/>
            <w:tcBorders>
              <w:top w:val="nil"/>
              <w:left w:val="single" w:color="000000" w:sz="6" w:space="0"/>
              <w:bottom w:val="single" w:color="000000" w:sz="6" w:space="0"/>
              <w:right w:val="single" w:color="000000" w:sz="6" w:space="0"/>
            </w:tcBorders>
            <w:vAlign w:val="center"/>
          </w:tcPr>
          <w:p>
            <w:pPr>
              <w:snapToGrid w:val="0"/>
              <w:jc w:val="center"/>
              <w:rPr>
                <w:rFonts w:ascii="宋体" w:hAnsi="宋体" w:cs="宋体"/>
                <w:snapToGrid w:val="0"/>
                <w:color w:val="auto"/>
                <w:sz w:val="18"/>
                <w:szCs w:val="18"/>
                <w:highlight w:val="none"/>
              </w:rPr>
            </w:pPr>
          </w:p>
        </w:tc>
        <w:tc>
          <w:tcPr>
            <w:tcW w:w="1960" w:type="dxa"/>
            <w:tcBorders>
              <w:top w:val="nil"/>
              <w:left w:val="single" w:color="000000" w:sz="6" w:space="0"/>
              <w:bottom w:val="single" w:color="000000" w:sz="6" w:space="0"/>
              <w:right w:val="single" w:color="000000" w:sz="6" w:space="0"/>
            </w:tcBorders>
          </w:tcPr>
          <w:p>
            <w:pPr>
              <w:snapToGrid w:val="0"/>
              <w:jc w:val="center"/>
              <w:rPr>
                <w:rFonts w:ascii="宋体" w:hAnsi="宋体" w:cs="宋体"/>
                <w:snapToGrid w:val="0"/>
                <w:color w:val="auto"/>
                <w:sz w:val="18"/>
                <w:szCs w:val="18"/>
                <w:highlight w:val="none"/>
              </w:rPr>
            </w:pPr>
          </w:p>
        </w:tc>
        <w:tc>
          <w:tcPr>
            <w:tcW w:w="1175" w:type="dxa"/>
            <w:tcBorders>
              <w:top w:val="single" w:color="000000" w:sz="6" w:space="0"/>
              <w:left w:val="single" w:color="000000" w:sz="6" w:space="0"/>
              <w:bottom w:val="single" w:color="000000" w:sz="6" w:space="0"/>
              <w:right w:val="single" w:color="000000" w:sz="6" w:space="0"/>
            </w:tcBorders>
            <w:vAlign w:val="center"/>
          </w:tcPr>
          <w:p>
            <w:pPr>
              <w:snapToGrid w:val="0"/>
              <w:jc w:val="center"/>
              <w:rPr>
                <w:rFonts w:ascii="宋体" w:hAnsi="宋体" w:cs="宋体"/>
                <w:snapToGrid w:val="0"/>
                <w:color w:val="auto"/>
                <w:sz w:val="18"/>
                <w:szCs w:val="18"/>
                <w:highlight w:val="none"/>
              </w:rPr>
            </w:pPr>
          </w:p>
        </w:tc>
        <w:tc>
          <w:tcPr>
            <w:tcW w:w="1177" w:type="dxa"/>
            <w:tcBorders>
              <w:top w:val="single" w:color="000000" w:sz="6" w:space="0"/>
              <w:left w:val="single" w:color="000000" w:sz="6" w:space="0"/>
              <w:bottom w:val="single" w:color="000000" w:sz="6" w:space="0"/>
              <w:right w:val="single" w:color="000000" w:sz="6" w:space="0"/>
            </w:tcBorders>
          </w:tcPr>
          <w:p>
            <w:pPr>
              <w:snapToGrid w:val="0"/>
              <w:jc w:val="center"/>
              <w:rPr>
                <w:rFonts w:ascii="宋体" w:hAnsi="宋体" w:cs="宋体"/>
                <w:snapToGrid w:val="0"/>
                <w:color w:val="auto"/>
                <w:sz w:val="18"/>
                <w:szCs w:val="18"/>
                <w:highlight w:val="none"/>
              </w:rPr>
            </w:pPr>
          </w:p>
        </w:tc>
        <w:tc>
          <w:tcPr>
            <w:tcW w:w="1413" w:type="dxa"/>
            <w:tcBorders>
              <w:top w:val="nil"/>
              <w:left w:val="single" w:color="000000" w:sz="6" w:space="0"/>
              <w:bottom w:val="single" w:color="000000" w:sz="6" w:space="0"/>
              <w:right w:val="single" w:color="000000" w:sz="6" w:space="0"/>
            </w:tcBorders>
          </w:tcPr>
          <w:p>
            <w:pPr>
              <w:snapToGrid w:val="0"/>
              <w:jc w:val="center"/>
              <w:rPr>
                <w:rFonts w:ascii="宋体" w:hAnsi="宋体" w:cs="宋体"/>
                <w:snapToGrid w:val="0"/>
                <w:color w:val="auto"/>
                <w:sz w:val="18"/>
                <w:szCs w:val="1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783" w:type="dxa"/>
            <w:tcBorders>
              <w:top w:val="nil"/>
              <w:left w:val="single" w:color="000000" w:sz="6" w:space="0"/>
              <w:bottom w:val="single" w:color="000000" w:sz="6" w:space="0"/>
              <w:right w:val="single" w:color="000000" w:sz="6" w:space="0"/>
            </w:tcBorders>
            <w:vAlign w:val="center"/>
          </w:tcPr>
          <w:p>
            <w:pPr>
              <w:snapToGrid w:val="0"/>
              <w:jc w:val="center"/>
              <w:rPr>
                <w:rFonts w:ascii="宋体" w:hAnsi="宋体" w:cs="宋体"/>
                <w:snapToGrid w:val="0"/>
                <w:color w:val="auto"/>
                <w:sz w:val="18"/>
                <w:szCs w:val="18"/>
                <w:highlight w:val="none"/>
              </w:rPr>
            </w:pPr>
          </w:p>
        </w:tc>
        <w:tc>
          <w:tcPr>
            <w:tcW w:w="1861" w:type="dxa"/>
            <w:tcBorders>
              <w:top w:val="nil"/>
              <w:left w:val="single" w:color="000000" w:sz="6" w:space="0"/>
              <w:bottom w:val="single" w:color="000000" w:sz="6" w:space="0"/>
              <w:right w:val="single" w:color="000000" w:sz="6" w:space="0"/>
            </w:tcBorders>
            <w:vAlign w:val="center"/>
          </w:tcPr>
          <w:p>
            <w:pPr>
              <w:snapToGrid w:val="0"/>
              <w:jc w:val="center"/>
              <w:rPr>
                <w:rFonts w:ascii="宋体" w:hAnsi="宋体" w:cs="宋体"/>
                <w:snapToGrid w:val="0"/>
                <w:color w:val="auto"/>
                <w:sz w:val="18"/>
                <w:szCs w:val="18"/>
                <w:highlight w:val="none"/>
              </w:rPr>
            </w:pPr>
          </w:p>
        </w:tc>
        <w:tc>
          <w:tcPr>
            <w:tcW w:w="1960" w:type="dxa"/>
            <w:tcBorders>
              <w:top w:val="nil"/>
              <w:left w:val="single" w:color="000000" w:sz="6" w:space="0"/>
              <w:bottom w:val="single" w:color="000000" w:sz="6" w:space="0"/>
              <w:right w:val="single" w:color="000000" w:sz="6" w:space="0"/>
            </w:tcBorders>
            <w:vAlign w:val="center"/>
          </w:tcPr>
          <w:p>
            <w:pPr>
              <w:snapToGrid w:val="0"/>
              <w:jc w:val="center"/>
              <w:rPr>
                <w:rFonts w:ascii="宋体" w:hAnsi="宋体" w:cs="宋体"/>
                <w:snapToGrid w:val="0"/>
                <w:color w:val="auto"/>
                <w:sz w:val="18"/>
                <w:szCs w:val="18"/>
                <w:highlight w:val="none"/>
              </w:rPr>
            </w:pPr>
          </w:p>
        </w:tc>
        <w:tc>
          <w:tcPr>
            <w:tcW w:w="1175" w:type="dxa"/>
            <w:tcBorders>
              <w:top w:val="single" w:color="000000" w:sz="6" w:space="0"/>
              <w:left w:val="single" w:color="000000" w:sz="6" w:space="0"/>
              <w:bottom w:val="single" w:color="000000" w:sz="6" w:space="0"/>
              <w:right w:val="single" w:color="000000" w:sz="6" w:space="0"/>
            </w:tcBorders>
            <w:vAlign w:val="center"/>
          </w:tcPr>
          <w:p>
            <w:pPr>
              <w:snapToGrid w:val="0"/>
              <w:jc w:val="center"/>
              <w:rPr>
                <w:rFonts w:ascii="宋体" w:hAnsi="宋体" w:cs="宋体"/>
                <w:snapToGrid w:val="0"/>
                <w:color w:val="auto"/>
                <w:sz w:val="18"/>
                <w:szCs w:val="18"/>
                <w:highlight w:val="none"/>
              </w:rPr>
            </w:pPr>
          </w:p>
        </w:tc>
        <w:tc>
          <w:tcPr>
            <w:tcW w:w="1177" w:type="dxa"/>
            <w:tcBorders>
              <w:top w:val="single" w:color="000000" w:sz="6" w:space="0"/>
              <w:left w:val="single" w:color="000000" w:sz="6" w:space="0"/>
              <w:bottom w:val="single" w:color="000000" w:sz="6" w:space="0"/>
              <w:right w:val="single" w:color="000000" w:sz="6" w:space="0"/>
            </w:tcBorders>
            <w:vAlign w:val="center"/>
          </w:tcPr>
          <w:p>
            <w:pPr>
              <w:snapToGrid w:val="0"/>
              <w:jc w:val="center"/>
              <w:rPr>
                <w:rFonts w:ascii="宋体" w:hAnsi="宋体" w:cs="宋体"/>
                <w:snapToGrid w:val="0"/>
                <w:color w:val="auto"/>
                <w:sz w:val="18"/>
                <w:szCs w:val="18"/>
                <w:highlight w:val="none"/>
              </w:rPr>
            </w:pPr>
          </w:p>
        </w:tc>
        <w:tc>
          <w:tcPr>
            <w:tcW w:w="1413" w:type="dxa"/>
            <w:tcBorders>
              <w:top w:val="nil"/>
              <w:left w:val="single" w:color="000000" w:sz="6" w:space="0"/>
              <w:bottom w:val="single" w:color="000000" w:sz="6" w:space="0"/>
              <w:right w:val="single" w:color="000000" w:sz="6" w:space="0"/>
            </w:tcBorders>
          </w:tcPr>
          <w:p>
            <w:pPr>
              <w:snapToGrid w:val="0"/>
              <w:jc w:val="center"/>
              <w:rPr>
                <w:rFonts w:ascii="宋体" w:hAnsi="宋体" w:cs="宋体"/>
                <w:snapToGrid w:val="0"/>
                <w:color w:val="auto"/>
                <w:sz w:val="18"/>
                <w:szCs w:val="1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783" w:type="dxa"/>
            <w:tcBorders>
              <w:top w:val="nil"/>
              <w:left w:val="single" w:color="000000" w:sz="6" w:space="0"/>
              <w:bottom w:val="single" w:color="000000" w:sz="6" w:space="0"/>
              <w:right w:val="single" w:color="000000" w:sz="6" w:space="0"/>
            </w:tcBorders>
            <w:vAlign w:val="center"/>
          </w:tcPr>
          <w:p>
            <w:pPr>
              <w:snapToGrid w:val="0"/>
              <w:jc w:val="center"/>
              <w:rPr>
                <w:rFonts w:ascii="宋体" w:hAnsi="宋体" w:cs="宋体"/>
                <w:snapToGrid w:val="0"/>
                <w:color w:val="auto"/>
                <w:sz w:val="18"/>
                <w:szCs w:val="18"/>
                <w:highlight w:val="none"/>
              </w:rPr>
            </w:pPr>
          </w:p>
        </w:tc>
        <w:tc>
          <w:tcPr>
            <w:tcW w:w="1861" w:type="dxa"/>
            <w:tcBorders>
              <w:top w:val="nil"/>
              <w:left w:val="single" w:color="000000" w:sz="6" w:space="0"/>
              <w:bottom w:val="single" w:color="000000" w:sz="6" w:space="0"/>
              <w:right w:val="single" w:color="000000" w:sz="6" w:space="0"/>
            </w:tcBorders>
            <w:vAlign w:val="center"/>
          </w:tcPr>
          <w:p>
            <w:pPr>
              <w:snapToGrid w:val="0"/>
              <w:jc w:val="center"/>
              <w:rPr>
                <w:rFonts w:ascii="宋体" w:hAnsi="宋体" w:cs="宋体"/>
                <w:snapToGrid w:val="0"/>
                <w:color w:val="auto"/>
                <w:sz w:val="18"/>
                <w:szCs w:val="18"/>
                <w:highlight w:val="none"/>
              </w:rPr>
            </w:pPr>
          </w:p>
        </w:tc>
        <w:tc>
          <w:tcPr>
            <w:tcW w:w="1960" w:type="dxa"/>
            <w:tcBorders>
              <w:top w:val="nil"/>
              <w:left w:val="single" w:color="000000" w:sz="6" w:space="0"/>
              <w:bottom w:val="single" w:color="000000" w:sz="6" w:space="0"/>
              <w:right w:val="single" w:color="000000" w:sz="6" w:space="0"/>
            </w:tcBorders>
          </w:tcPr>
          <w:p>
            <w:pPr>
              <w:snapToGrid w:val="0"/>
              <w:jc w:val="center"/>
              <w:rPr>
                <w:rFonts w:ascii="宋体" w:hAnsi="宋体" w:cs="宋体"/>
                <w:snapToGrid w:val="0"/>
                <w:color w:val="auto"/>
                <w:sz w:val="18"/>
                <w:szCs w:val="18"/>
                <w:highlight w:val="none"/>
              </w:rPr>
            </w:pPr>
          </w:p>
        </w:tc>
        <w:tc>
          <w:tcPr>
            <w:tcW w:w="1175" w:type="dxa"/>
            <w:tcBorders>
              <w:top w:val="single" w:color="000000" w:sz="6" w:space="0"/>
              <w:left w:val="single" w:color="000000" w:sz="6" w:space="0"/>
              <w:bottom w:val="single" w:color="000000" w:sz="6" w:space="0"/>
              <w:right w:val="single" w:color="000000" w:sz="6" w:space="0"/>
            </w:tcBorders>
            <w:vAlign w:val="center"/>
          </w:tcPr>
          <w:p>
            <w:pPr>
              <w:snapToGrid w:val="0"/>
              <w:jc w:val="center"/>
              <w:rPr>
                <w:rFonts w:ascii="宋体" w:hAnsi="宋体" w:cs="宋体"/>
                <w:snapToGrid w:val="0"/>
                <w:color w:val="auto"/>
                <w:sz w:val="18"/>
                <w:szCs w:val="18"/>
                <w:highlight w:val="none"/>
              </w:rPr>
            </w:pPr>
          </w:p>
        </w:tc>
        <w:tc>
          <w:tcPr>
            <w:tcW w:w="1177" w:type="dxa"/>
            <w:tcBorders>
              <w:top w:val="single" w:color="000000" w:sz="6" w:space="0"/>
              <w:left w:val="single" w:color="000000" w:sz="6" w:space="0"/>
              <w:bottom w:val="single" w:color="000000" w:sz="6" w:space="0"/>
              <w:right w:val="single" w:color="000000" w:sz="6" w:space="0"/>
            </w:tcBorders>
          </w:tcPr>
          <w:p>
            <w:pPr>
              <w:snapToGrid w:val="0"/>
              <w:jc w:val="center"/>
              <w:rPr>
                <w:rFonts w:ascii="宋体" w:hAnsi="宋体" w:cs="宋体"/>
                <w:snapToGrid w:val="0"/>
                <w:color w:val="auto"/>
                <w:sz w:val="18"/>
                <w:szCs w:val="18"/>
                <w:highlight w:val="none"/>
              </w:rPr>
            </w:pPr>
          </w:p>
        </w:tc>
        <w:tc>
          <w:tcPr>
            <w:tcW w:w="1413" w:type="dxa"/>
            <w:tcBorders>
              <w:top w:val="nil"/>
              <w:left w:val="single" w:color="000000" w:sz="6" w:space="0"/>
              <w:bottom w:val="single" w:color="000000" w:sz="6" w:space="0"/>
              <w:right w:val="single" w:color="000000" w:sz="6" w:space="0"/>
            </w:tcBorders>
          </w:tcPr>
          <w:p>
            <w:pPr>
              <w:snapToGrid w:val="0"/>
              <w:jc w:val="center"/>
              <w:rPr>
                <w:rFonts w:ascii="宋体" w:hAnsi="宋体" w:cs="宋体"/>
                <w:snapToGrid w:val="0"/>
                <w:color w:val="auto"/>
                <w:sz w:val="18"/>
                <w:szCs w:val="1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783" w:type="dxa"/>
            <w:tcBorders>
              <w:top w:val="nil"/>
              <w:left w:val="single" w:color="000000" w:sz="6" w:space="0"/>
              <w:bottom w:val="single" w:color="000000" w:sz="6" w:space="0"/>
              <w:right w:val="single" w:color="000000" w:sz="6" w:space="0"/>
            </w:tcBorders>
            <w:vAlign w:val="center"/>
          </w:tcPr>
          <w:p>
            <w:pPr>
              <w:snapToGrid w:val="0"/>
              <w:jc w:val="center"/>
              <w:rPr>
                <w:rFonts w:ascii="宋体" w:hAnsi="宋体" w:cs="宋体"/>
                <w:snapToGrid w:val="0"/>
                <w:color w:val="auto"/>
                <w:sz w:val="18"/>
                <w:szCs w:val="18"/>
                <w:highlight w:val="none"/>
              </w:rPr>
            </w:pPr>
          </w:p>
        </w:tc>
        <w:tc>
          <w:tcPr>
            <w:tcW w:w="1861" w:type="dxa"/>
            <w:tcBorders>
              <w:top w:val="nil"/>
              <w:left w:val="single" w:color="000000" w:sz="6" w:space="0"/>
              <w:bottom w:val="single" w:color="000000" w:sz="6" w:space="0"/>
              <w:right w:val="single" w:color="000000" w:sz="6" w:space="0"/>
            </w:tcBorders>
            <w:vAlign w:val="center"/>
          </w:tcPr>
          <w:p>
            <w:pPr>
              <w:snapToGrid w:val="0"/>
              <w:jc w:val="center"/>
              <w:rPr>
                <w:rFonts w:ascii="宋体" w:hAnsi="宋体" w:cs="宋体"/>
                <w:snapToGrid w:val="0"/>
                <w:color w:val="auto"/>
                <w:sz w:val="18"/>
                <w:szCs w:val="18"/>
                <w:highlight w:val="none"/>
              </w:rPr>
            </w:pPr>
          </w:p>
        </w:tc>
        <w:tc>
          <w:tcPr>
            <w:tcW w:w="1960" w:type="dxa"/>
            <w:tcBorders>
              <w:top w:val="nil"/>
              <w:left w:val="single" w:color="000000" w:sz="6" w:space="0"/>
              <w:bottom w:val="single" w:color="000000" w:sz="6" w:space="0"/>
              <w:right w:val="single" w:color="000000" w:sz="6" w:space="0"/>
            </w:tcBorders>
            <w:vAlign w:val="center"/>
          </w:tcPr>
          <w:p>
            <w:pPr>
              <w:snapToGrid w:val="0"/>
              <w:jc w:val="center"/>
              <w:rPr>
                <w:rFonts w:ascii="宋体" w:hAnsi="宋体" w:cs="宋体"/>
                <w:snapToGrid w:val="0"/>
                <w:color w:val="auto"/>
                <w:sz w:val="18"/>
                <w:szCs w:val="18"/>
                <w:highlight w:val="none"/>
              </w:rPr>
            </w:pPr>
          </w:p>
        </w:tc>
        <w:tc>
          <w:tcPr>
            <w:tcW w:w="1175" w:type="dxa"/>
            <w:tcBorders>
              <w:top w:val="single" w:color="000000" w:sz="6" w:space="0"/>
              <w:left w:val="single" w:color="000000" w:sz="6" w:space="0"/>
              <w:bottom w:val="single" w:color="000000" w:sz="6" w:space="0"/>
              <w:right w:val="single" w:color="000000" w:sz="6" w:space="0"/>
            </w:tcBorders>
          </w:tcPr>
          <w:p>
            <w:pPr>
              <w:snapToGrid w:val="0"/>
              <w:jc w:val="center"/>
              <w:rPr>
                <w:rFonts w:ascii="宋体" w:hAnsi="宋体" w:cs="宋体"/>
                <w:snapToGrid w:val="0"/>
                <w:color w:val="auto"/>
                <w:sz w:val="18"/>
                <w:szCs w:val="18"/>
                <w:highlight w:val="none"/>
              </w:rPr>
            </w:pPr>
          </w:p>
        </w:tc>
        <w:tc>
          <w:tcPr>
            <w:tcW w:w="1177" w:type="dxa"/>
            <w:tcBorders>
              <w:top w:val="single" w:color="000000" w:sz="6" w:space="0"/>
              <w:left w:val="single" w:color="000000" w:sz="6" w:space="0"/>
              <w:bottom w:val="single" w:color="000000" w:sz="6" w:space="0"/>
              <w:right w:val="single" w:color="000000" w:sz="6" w:space="0"/>
            </w:tcBorders>
          </w:tcPr>
          <w:p>
            <w:pPr>
              <w:snapToGrid w:val="0"/>
              <w:jc w:val="center"/>
              <w:rPr>
                <w:rFonts w:ascii="宋体" w:hAnsi="宋体" w:cs="宋体"/>
                <w:snapToGrid w:val="0"/>
                <w:color w:val="auto"/>
                <w:sz w:val="18"/>
                <w:szCs w:val="18"/>
                <w:highlight w:val="none"/>
              </w:rPr>
            </w:pPr>
          </w:p>
        </w:tc>
        <w:tc>
          <w:tcPr>
            <w:tcW w:w="1413" w:type="dxa"/>
            <w:tcBorders>
              <w:top w:val="nil"/>
              <w:left w:val="single" w:color="000000" w:sz="6" w:space="0"/>
              <w:bottom w:val="single" w:color="000000" w:sz="6" w:space="0"/>
              <w:right w:val="single" w:color="000000" w:sz="6" w:space="0"/>
            </w:tcBorders>
          </w:tcPr>
          <w:p>
            <w:pPr>
              <w:snapToGrid w:val="0"/>
              <w:jc w:val="center"/>
              <w:rPr>
                <w:rFonts w:ascii="宋体" w:hAnsi="宋体" w:cs="宋体"/>
                <w:snapToGrid w:val="0"/>
                <w:color w:val="auto"/>
                <w:sz w:val="18"/>
                <w:szCs w:val="18"/>
                <w:highlight w:val="none"/>
              </w:rPr>
            </w:pPr>
          </w:p>
        </w:tc>
      </w:tr>
    </w:tbl>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1.6 投标方现场服务人员的条件</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1.6.1 遵守法纪，遵守现场的各项规章和制度，熟悉并掌握现场和电厂有关方面的规章制度；</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1.6.2 有较强的责任感和事业心；</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1.6.3 了解合同设备的设计，熟悉其结构，有相同或相近机组的现场工作经验，能够正确地进行现场指导；</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1.6.4 身体健康，适应现场工作的条件。</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1.7  投标方现场服务人员的职责</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1.7.1 投标方现场服务人员的任务主要包括催交设备、开箱检验货物、处理设备质量问题、指导安装和调试、参加试运和性能验收试验等。</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1.7.2 在安装和调试前，投标方现场服务人员应向招标方进行技术交底，讲解和示范将要进行操作的程序和方法。</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1.7.3投标方现场服务人员有权处理现场出现的一切技术和商务问题。如现场发生质量问题，投标方现场人员应在招标方规定的时间内处理解决。</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1.7.4 投标方对其现场服务人员的一切行为负全部责任。</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1.7.5 投标方现场服务人员的正常来去和更换应事先与招标方协商。</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1.8 招标方的义务</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招标方要配合投标方现场服务人员的工作，并在工作、生活、交通和通讯等方面提供方便。</w:t>
      </w:r>
    </w:p>
    <w:p>
      <w:pPr>
        <w:pStyle w:val="5"/>
        <w:rPr>
          <w:rFonts w:cs="宋体"/>
          <w:color w:val="auto"/>
          <w:sz w:val="21"/>
          <w:szCs w:val="21"/>
          <w:highlight w:val="none"/>
        </w:rPr>
      </w:pPr>
      <w:bookmarkStart w:id="832" w:name="_Toc7483"/>
      <w:bookmarkStart w:id="833" w:name="_Toc91247601"/>
      <w:bookmarkStart w:id="834" w:name="_Toc6286"/>
      <w:bookmarkStart w:id="835" w:name="_Toc2170"/>
      <w:bookmarkStart w:id="836" w:name="_Toc24336"/>
      <w:bookmarkStart w:id="837" w:name="_Toc46841975"/>
      <w:bookmarkStart w:id="838" w:name="_Toc68085413"/>
      <w:bookmarkStart w:id="839" w:name="_Toc73781902"/>
      <w:bookmarkStart w:id="840" w:name="_Toc67906995"/>
      <w:bookmarkStart w:id="841" w:name="_Toc79399144"/>
      <w:bookmarkStart w:id="842" w:name="_Toc67990251"/>
      <w:bookmarkStart w:id="843" w:name="_Toc79399029"/>
      <w:bookmarkStart w:id="844" w:name="_Toc85379629"/>
      <w:bookmarkStart w:id="845" w:name="_Toc74539621"/>
      <w:bookmarkStart w:id="846" w:name="_Toc79398849"/>
      <w:bookmarkStart w:id="847" w:name="_Toc67907123"/>
      <w:r>
        <w:rPr>
          <w:rFonts w:hint="eastAsia" w:cs="宋体"/>
          <w:color w:val="auto"/>
          <w:sz w:val="21"/>
          <w:szCs w:val="21"/>
          <w:highlight w:val="none"/>
        </w:rPr>
        <w:t>2 培训</w:t>
      </w:r>
      <w:bookmarkEnd w:id="832"/>
      <w:bookmarkEnd w:id="833"/>
      <w:bookmarkEnd w:id="834"/>
      <w:bookmarkEnd w:id="835"/>
      <w:bookmarkEnd w:id="836"/>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2.1为使合同设备能正常安装和运行，投标方有责任提供相应的技术培训。培训内容应与工程进度相一致。</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2.2培训计划和内容。</w:t>
      </w:r>
    </w:p>
    <w:p>
      <w:pPr>
        <w:pStyle w:val="89"/>
        <w:tabs>
          <w:tab w:val="left" w:pos="426"/>
        </w:tabs>
        <w:snapToGrid w:val="0"/>
        <w:spacing w:after="48" w:line="240" w:lineRule="auto"/>
        <w:ind w:firstLine="480"/>
        <w:rPr>
          <w:rFonts w:hAnsi="宋体" w:cs="宋体"/>
          <w:color w:val="auto"/>
          <w:sz w:val="21"/>
          <w:szCs w:val="21"/>
          <w:highlight w:val="none"/>
        </w:rPr>
      </w:pPr>
      <w:r>
        <w:rPr>
          <w:rFonts w:hint="eastAsia" w:hAnsi="宋体" w:cs="宋体"/>
          <w:color w:val="auto"/>
          <w:sz w:val="21"/>
          <w:szCs w:val="21"/>
          <w:highlight w:val="none"/>
        </w:rPr>
        <w:t>培训计划表</w:t>
      </w:r>
    </w:p>
    <w:tbl>
      <w:tblPr>
        <w:tblStyle w:val="34"/>
        <w:tblW w:w="0" w:type="auto"/>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38"/>
        <w:gridCol w:w="2479"/>
        <w:gridCol w:w="1968"/>
        <w:gridCol w:w="1148"/>
        <w:gridCol w:w="984"/>
        <w:gridCol w:w="1312"/>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638" w:type="dxa"/>
            <w:vMerge w:val="restart"/>
          </w:tcPr>
          <w:p>
            <w:pPr>
              <w:snapToGrid w:val="0"/>
              <w:jc w:val="center"/>
              <w:rPr>
                <w:rFonts w:ascii="宋体" w:hAnsi="宋体" w:cs="宋体"/>
                <w:snapToGrid w:val="0"/>
                <w:color w:val="auto"/>
                <w:sz w:val="18"/>
                <w:szCs w:val="18"/>
                <w:highlight w:val="none"/>
              </w:rPr>
            </w:pPr>
          </w:p>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序号</w:t>
            </w:r>
          </w:p>
        </w:tc>
        <w:tc>
          <w:tcPr>
            <w:tcW w:w="2479" w:type="dxa"/>
            <w:vMerge w:val="restart"/>
            <w:vAlign w:val="center"/>
          </w:tcPr>
          <w:p>
            <w:pPr>
              <w:pStyle w:val="89"/>
              <w:snapToGrid w:val="0"/>
              <w:spacing w:line="360" w:lineRule="atLeast"/>
              <w:ind w:firstLine="480"/>
              <w:rPr>
                <w:rFonts w:hAnsi="宋体" w:cs="宋体"/>
                <w:snapToGrid w:val="0"/>
                <w:color w:val="auto"/>
                <w:kern w:val="2"/>
                <w:sz w:val="18"/>
                <w:szCs w:val="18"/>
                <w:highlight w:val="none"/>
              </w:rPr>
            </w:pPr>
            <w:r>
              <w:rPr>
                <w:rFonts w:hint="eastAsia" w:hAnsi="宋体" w:cs="宋体"/>
                <w:snapToGrid w:val="0"/>
                <w:color w:val="auto"/>
                <w:kern w:val="2"/>
                <w:sz w:val="18"/>
                <w:szCs w:val="18"/>
                <w:highlight w:val="none"/>
              </w:rPr>
              <w:t>技术服务内容</w:t>
            </w:r>
          </w:p>
        </w:tc>
        <w:tc>
          <w:tcPr>
            <w:tcW w:w="1968" w:type="dxa"/>
            <w:vMerge w:val="restart"/>
            <w:vAlign w:val="center"/>
          </w:tcPr>
          <w:p>
            <w:pPr>
              <w:pStyle w:val="89"/>
              <w:snapToGrid w:val="0"/>
              <w:spacing w:line="360" w:lineRule="atLeast"/>
              <w:ind w:firstLine="480"/>
              <w:rPr>
                <w:rFonts w:hAnsi="宋体" w:cs="宋体"/>
                <w:snapToGrid w:val="0"/>
                <w:color w:val="auto"/>
                <w:kern w:val="2"/>
                <w:sz w:val="18"/>
                <w:szCs w:val="18"/>
                <w:highlight w:val="none"/>
              </w:rPr>
            </w:pPr>
            <w:r>
              <w:rPr>
                <w:rFonts w:hint="eastAsia" w:hAnsi="宋体" w:cs="宋体"/>
                <w:snapToGrid w:val="0"/>
                <w:color w:val="auto"/>
                <w:kern w:val="2"/>
                <w:sz w:val="18"/>
                <w:szCs w:val="18"/>
                <w:highlight w:val="none"/>
              </w:rPr>
              <w:t>计划人×天数</w:t>
            </w:r>
          </w:p>
        </w:tc>
        <w:tc>
          <w:tcPr>
            <w:tcW w:w="2132" w:type="dxa"/>
            <w:gridSpan w:val="2"/>
          </w:tcPr>
          <w:p>
            <w:pPr>
              <w:pStyle w:val="89"/>
              <w:snapToGrid w:val="0"/>
              <w:spacing w:line="360" w:lineRule="atLeast"/>
              <w:ind w:firstLine="480"/>
              <w:rPr>
                <w:rFonts w:hAnsi="宋体" w:cs="宋体"/>
                <w:snapToGrid w:val="0"/>
                <w:color w:val="auto"/>
                <w:kern w:val="2"/>
                <w:sz w:val="18"/>
                <w:szCs w:val="18"/>
                <w:highlight w:val="none"/>
              </w:rPr>
            </w:pPr>
            <w:r>
              <w:rPr>
                <w:rFonts w:hint="eastAsia" w:hAnsi="宋体" w:cs="宋体"/>
                <w:snapToGrid w:val="0"/>
                <w:color w:val="auto"/>
                <w:kern w:val="2"/>
                <w:sz w:val="18"/>
                <w:szCs w:val="18"/>
                <w:highlight w:val="none"/>
              </w:rPr>
              <w:t>培训人员构成</w:t>
            </w:r>
          </w:p>
        </w:tc>
        <w:tc>
          <w:tcPr>
            <w:tcW w:w="1312" w:type="dxa"/>
            <w:vMerge w:val="restart"/>
            <w:vAlign w:val="center"/>
          </w:tcPr>
          <w:p>
            <w:pPr>
              <w:snapToGrid w:val="0"/>
              <w:ind w:firstLine="360" w:firstLineChars="20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638" w:type="dxa"/>
            <w:vMerge w:val="continue"/>
          </w:tcPr>
          <w:p>
            <w:pPr>
              <w:snapToGrid w:val="0"/>
              <w:jc w:val="center"/>
              <w:rPr>
                <w:rFonts w:ascii="宋体" w:hAnsi="宋体" w:cs="宋体"/>
                <w:snapToGrid w:val="0"/>
                <w:color w:val="auto"/>
                <w:sz w:val="18"/>
                <w:szCs w:val="18"/>
                <w:highlight w:val="none"/>
              </w:rPr>
            </w:pPr>
          </w:p>
        </w:tc>
        <w:tc>
          <w:tcPr>
            <w:tcW w:w="2479" w:type="dxa"/>
            <w:vMerge w:val="continue"/>
          </w:tcPr>
          <w:p>
            <w:pPr>
              <w:snapToGrid w:val="0"/>
              <w:jc w:val="center"/>
              <w:rPr>
                <w:rFonts w:ascii="宋体" w:hAnsi="宋体" w:cs="宋体"/>
                <w:snapToGrid w:val="0"/>
                <w:color w:val="auto"/>
                <w:sz w:val="18"/>
                <w:szCs w:val="18"/>
                <w:highlight w:val="none"/>
              </w:rPr>
            </w:pPr>
          </w:p>
        </w:tc>
        <w:tc>
          <w:tcPr>
            <w:tcW w:w="1968" w:type="dxa"/>
            <w:vMerge w:val="continue"/>
          </w:tcPr>
          <w:p>
            <w:pPr>
              <w:snapToGrid w:val="0"/>
              <w:jc w:val="center"/>
              <w:rPr>
                <w:rFonts w:ascii="宋体" w:hAnsi="宋体" w:cs="宋体"/>
                <w:snapToGrid w:val="0"/>
                <w:color w:val="auto"/>
                <w:sz w:val="18"/>
                <w:szCs w:val="18"/>
                <w:highlight w:val="none"/>
              </w:rPr>
            </w:pPr>
          </w:p>
        </w:tc>
        <w:tc>
          <w:tcPr>
            <w:tcW w:w="1148" w:type="dxa"/>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职  称</w:t>
            </w:r>
          </w:p>
        </w:tc>
        <w:tc>
          <w:tcPr>
            <w:tcW w:w="984" w:type="dxa"/>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人  数</w:t>
            </w:r>
          </w:p>
        </w:tc>
        <w:tc>
          <w:tcPr>
            <w:tcW w:w="1312" w:type="dxa"/>
            <w:vMerge w:val="continue"/>
          </w:tcPr>
          <w:p>
            <w:pPr>
              <w:snapToGrid w:val="0"/>
              <w:jc w:val="center"/>
              <w:rPr>
                <w:rFonts w:ascii="宋体" w:hAnsi="宋体" w:cs="宋体"/>
                <w:snapToGrid w:val="0"/>
                <w:color w:val="auto"/>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638" w:type="dxa"/>
          </w:tcPr>
          <w:p>
            <w:pPr>
              <w:snapToGrid w:val="0"/>
              <w:jc w:val="center"/>
              <w:rPr>
                <w:rFonts w:ascii="宋体" w:hAnsi="宋体" w:cs="宋体"/>
                <w:snapToGrid w:val="0"/>
                <w:color w:val="auto"/>
                <w:sz w:val="18"/>
                <w:szCs w:val="18"/>
                <w:highlight w:val="none"/>
              </w:rPr>
            </w:pPr>
          </w:p>
        </w:tc>
        <w:tc>
          <w:tcPr>
            <w:tcW w:w="2479" w:type="dxa"/>
          </w:tcPr>
          <w:p>
            <w:pPr>
              <w:snapToGrid w:val="0"/>
              <w:jc w:val="center"/>
              <w:rPr>
                <w:rFonts w:ascii="宋体" w:hAnsi="宋体" w:cs="宋体"/>
                <w:snapToGrid w:val="0"/>
                <w:color w:val="auto"/>
                <w:sz w:val="18"/>
                <w:szCs w:val="18"/>
                <w:highlight w:val="none"/>
              </w:rPr>
            </w:pPr>
          </w:p>
        </w:tc>
        <w:tc>
          <w:tcPr>
            <w:tcW w:w="1968" w:type="dxa"/>
          </w:tcPr>
          <w:p>
            <w:pPr>
              <w:snapToGrid w:val="0"/>
              <w:jc w:val="center"/>
              <w:rPr>
                <w:rFonts w:ascii="宋体" w:hAnsi="宋体" w:cs="宋体"/>
                <w:snapToGrid w:val="0"/>
                <w:color w:val="auto"/>
                <w:sz w:val="18"/>
                <w:szCs w:val="18"/>
                <w:highlight w:val="none"/>
              </w:rPr>
            </w:pPr>
          </w:p>
        </w:tc>
        <w:tc>
          <w:tcPr>
            <w:tcW w:w="1148" w:type="dxa"/>
          </w:tcPr>
          <w:p>
            <w:pPr>
              <w:snapToGrid w:val="0"/>
              <w:jc w:val="center"/>
              <w:rPr>
                <w:rFonts w:ascii="宋体" w:hAnsi="宋体" w:cs="宋体"/>
                <w:snapToGrid w:val="0"/>
                <w:color w:val="auto"/>
                <w:sz w:val="18"/>
                <w:szCs w:val="18"/>
                <w:highlight w:val="none"/>
              </w:rPr>
            </w:pPr>
          </w:p>
        </w:tc>
        <w:tc>
          <w:tcPr>
            <w:tcW w:w="984" w:type="dxa"/>
          </w:tcPr>
          <w:p>
            <w:pPr>
              <w:snapToGrid w:val="0"/>
              <w:jc w:val="center"/>
              <w:rPr>
                <w:rFonts w:ascii="宋体" w:hAnsi="宋体" w:cs="宋体"/>
                <w:snapToGrid w:val="0"/>
                <w:color w:val="auto"/>
                <w:sz w:val="18"/>
                <w:szCs w:val="18"/>
                <w:highlight w:val="none"/>
              </w:rPr>
            </w:pPr>
          </w:p>
        </w:tc>
        <w:tc>
          <w:tcPr>
            <w:tcW w:w="1312" w:type="dxa"/>
          </w:tcPr>
          <w:p>
            <w:pPr>
              <w:snapToGrid w:val="0"/>
              <w:jc w:val="center"/>
              <w:rPr>
                <w:rFonts w:ascii="宋体" w:hAnsi="宋体" w:cs="宋体"/>
                <w:snapToGrid w:val="0"/>
                <w:color w:val="auto"/>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638" w:type="dxa"/>
          </w:tcPr>
          <w:p>
            <w:pPr>
              <w:snapToGrid w:val="0"/>
              <w:jc w:val="center"/>
              <w:rPr>
                <w:rFonts w:ascii="宋体" w:hAnsi="宋体" w:cs="宋体"/>
                <w:snapToGrid w:val="0"/>
                <w:color w:val="auto"/>
                <w:sz w:val="18"/>
                <w:szCs w:val="18"/>
                <w:highlight w:val="none"/>
              </w:rPr>
            </w:pPr>
          </w:p>
        </w:tc>
        <w:tc>
          <w:tcPr>
            <w:tcW w:w="2479" w:type="dxa"/>
          </w:tcPr>
          <w:p>
            <w:pPr>
              <w:snapToGrid w:val="0"/>
              <w:jc w:val="center"/>
              <w:rPr>
                <w:rFonts w:ascii="宋体" w:hAnsi="宋体" w:cs="宋体"/>
                <w:snapToGrid w:val="0"/>
                <w:color w:val="auto"/>
                <w:sz w:val="18"/>
                <w:szCs w:val="18"/>
                <w:highlight w:val="none"/>
              </w:rPr>
            </w:pPr>
          </w:p>
        </w:tc>
        <w:tc>
          <w:tcPr>
            <w:tcW w:w="1968" w:type="dxa"/>
          </w:tcPr>
          <w:p>
            <w:pPr>
              <w:snapToGrid w:val="0"/>
              <w:jc w:val="center"/>
              <w:rPr>
                <w:rFonts w:ascii="宋体" w:hAnsi="宋体" w:cs="宋体"/>
                <w:snapToGrid w:val="0"/>
                <w:color w:val="auto"/>
                <w:sz w:val="18"/>
                <w:szCs w:val="18"/>
                <w:highlight w:val="none"/>
              </w:rPr>
            </w:pPr>
          </w:p>
        </w:tc>
        <w:tc>
          <w:tcPr>
            <w:tcW w:w="1148" w:type="dxa"/>
          </w:tcPr>
          <w:p>
            <w:pPr>
              <w:snapToGrid w:val="0"/>
              <w:jc w:val="center"/>
              <w:rPr>
                <w:rFonts w:ascii="宋体" w:hAnsi="宋体" w:cs="宋体"/>
                <w:snapToGrid w:val="0"/>
                <w:color w:val="auto"/>
                <w:sz w:val="18"/>
                <w:szCs w:val="18"/>
                <w:highlight w:val="none"/>
              </w:rPr>
            </w:pPr>
          </w:p>
        </w:tc>
        <w:tc>
          <w:tcPr>
            <w:tcW w:w="984" w:type="dxa"/>
          </w:tcPr>
          <w:p>
            <w:pPr>
              <w:snapToGrid w:val="0"/>
              <w:jc w:val="center"/>
              <w:rPr>
                <w:rFonts w:ascii="宋体" w:hAnsi="宋体" w:cs="宋体"/>
                <w:snapToGrid w:val="0"/>
                <w:color w:val="auto"/>
                <w:sz w:val="18"/>
                <w:szCs w:val="18"/>
                <w:highlight w:val="none"/>
              </w:rPr>
            </w:pPr>
          </w:p>
        </w:tc>
        <w:tc>
          <w:tcPr>
            <w:tcW w:w="1312" w:type="dxa"/>
          </w:tcPr>
          <w:p>
            <w:pPr>
              <w:snapToGrid w:val="0"/>
              <w:jc w:val="center"/>
              <w:rPr>
                <w:rFonts w:ascii="宋体" w:hAnsi="宋体" w:cs="宋体"/>
                <w:snapToGrid w:val="0"/>
                <w:color w:val="auto"/>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638" w:type="dxa"/>
          </w:tcPr>
          <w:p>
            <w:pPr>
              <w:snapToGrid w:val="0"/>
              <w:jc w:val="center"/>
              <w:rPr>
                <w:rFonts w:ascii="宋体" w:hAnsi="宋体" w:cs="宋体"/>
                <w:snapToGrid w:val="0"/>
                <w:color w:val="auto"/>
                <w:sz w:val="18"/>
                <w:szCs w:val="18"/>
                <w:highlight w:val="none"/>
              </w:rPr>
            </w:pPr>
          </w:p>
        </w:tc>
        <w:tc>
          <w:tcPr>
            <w:tcW w:w="2479" w:type="dxa"/>
          </w:tcPr>
          <w:p>
            <w:pPr>
              <w:snapToGrid w:val="0"/>
              <w:jc w:val="center"/>
              <w:rPr>
                <w:rFonts w:ascii="宋体" w:hAnsi="宋体" w:cs="宋体"/>
                <w:snapToGrid w:val="0"/>
                <w:color w:val="auto"/>
                <w:sz w:val="18"/>
                <w:szCs w:val="18"/>
                <w:highlight w:val="none"/>
              </w:rPr>
            </w:pPr>
          </w:p>
        </w:tc>
        <w:tc>
          <w:tcPr>
            <w:tcW w:w="1968" w:type="dxa"/>
          </w:tcPr>
          <w:p>
            <w:pPr>
              <w:snapToGrid w:val="0"/>
              <w:jc w:val="center"/>
              <w:rPr>
                <w:rFonts w:ascii="宋体" w:hAnsi="宋体" w:cs="宋体"/>
                <w:snapToGrid w:val="0"/>
                <w:color w:val="auto"/>
                <w:sz w:val="18"/>
                <w:szCs w:val="18"/>
                <w:highlight w:val="none"/>
              </w:rPr>
            </w:pPr>
          </w:p>
        </w:tc>
        <w:tc>
          <w:tcPr>
            <w:tcW w:w="1148" w:type="dxa"/>
          </w:tcPr>
          <w:p>
            <w:pPr>
              <w:snapToGrid w:val="0"/>
              <w:jc w:val="center"/>
              <w:rPr>
                <w:rFonts w:ascii="宋体" w:hAnsi="宋体" w:cs="宋体"/>
                <w:snapToGrid w:val="0"/>
                <w:color w:val="auto"/>
                <w:sz w:val="18"/>
                <w:szCs w:val="18"/>
                <w:highlight w:val="none"/>
              </w:rPr>
            </w:pPr>
          </w:p>
        </w:tc>
        <w:tc>
          <w:tcPr>
            <w:tcW w:w="984" w:type="dxa"/>
          </w:tcPr>
          <w:p>
            <w:pPr>
              <w:snapToGrid w:val="0"/>
              <w:jc w:val="center"/>
              <w:rPr>
                <w:rFonts w:ascii="宋体" w:hAnsi="宋体" w:cs="宋体"/>
                <w:snapToGrid w:val="0"/>
                <w:color w:val="auto"/>
                <w:sz w:val="18"/>
                <w:szCs w:val="18"/>
                <w:highlight w:val="none"/>
              </w:rPr>
            </w:pPr>
          </w:p>
        </w:tc>
        <w:tc>
          <w:tcPr>
            <w:tcW w:w="1312" w:type="dxa"/>
          </w:tcPr>
          <w:p>
            <w:pPr>
              <w:snapToGrid w:val="0"/>
              <w:jc w:val="center"/>
              <w:rPr>
                <w:rFonts w:ascii="宋体" w:hAnsi="宋体" w:cs="宋体"/>
                <w:snapToGrid w:val="0"/>
                <w:color w:val="auto"/>
                <w:sz w:val="18"/>
                <w:szCs w:val="18"/>
                <w:highlight w:val="none"/>
              </w:rPr>
            </w:pPr>
          </w:p>
        </w:tc>
      </w:tr>
    </w:tbl>
    <w:p>
      <w:pPr>
        <w:pStyle w:val="18"/>
        <w:adjustRightInd w:val="0"/>
        <w:snapToGrid w:val="0"/>
        <w:spacing w:after="48" w:line="300" w:lineRule="auto"/>
        <w:ind w:firstLine="480"/>
        <w:rPr>
          <w:rFonts w:hAnsi="宋体" w:cs="宋体"/>
          <w:color w:val="auto"/>
          <w:szCs w:val="21"/>
          <w:highlight w:val="none"/>
        </w:rPr>
      </w:pP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2.3培训的时间、人数、地点等具体内容由买卖双方商定。</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2.4投标方应为招标方培训人员提供设备、场地、资料、生活等培训条件。</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2.5招标方参加培训的交通、食宿、补助等费用由招标方承担，其它费用由投标方承担。</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2.6在招标方人员培训期间，投标方免费为招标方人员提供培训资料和其它必需品。</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2.7 为了顺利完成培训，除非双方同意，投标方不应因假期中断对招标方人员的培训。</w:t>
      </w:r>
    </w:p>
    <w:p>
      <w:pPr>
        <w:pStyle w:val="5"/>
        <w:rPr>
          <w:rFonts w:cs="宋体"/>
          <w:color w:val="auto"/>
          <w:sz w:val="21"/>
          <w:szCs w:val="21"/>
          <w:highlight w:val="none"/>
        </w:rPr>
      </w:pPr>
      <w:bookmarkStart w:id="848" w:name="_Toc9704"/>
      <w:bookmarkStart w:id="849" w:name="_Toc91247602"/>
      <w:bookmarkStart w:id="850" w:name="_Toc12247"/>
      <w:bookmarkStart w:id="851" w:name="_Toc18406"/>
      <w:bookmarkStart w:id="852" w:name="_Toc31614"/>
      <w:r>
        <w:rPr>
          <w:rFonts w:hint="eastAsia" w:cs="宋体"/>
          <w:color w:val="auto"/>
          <w:sz w:val="21"/>
          <w:szCs w:val="21"/>
          <w:highlight w:val="none"/>
        </w:rPr>
        <w:t>3 设计联络会</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3.1 为了保证工程进度并能顺利开展工作，双方根据需要组织设计联络会以解决技术接口等问题。</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3.2 在每次联络会前两周，投标方应向招标方提交技术文件和图纸，以便招标方在会上讨论和确认这些技术文件和图纸。</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3.3 有关设计联络的计划、时间、地点和内容由双方商定。</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3.4 设计联络会中确定的内容与本技术规范具有同等效力。</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3.5 设计联络会(原则上定为</w:t>
      </w:r>
      <w:r>
        <w:rPr>
          <w:rFonts w:ascii="宋体" w:hAnsi="宋体" w:cs="宋体"/>
          <w:bCs/>
          <w:color w:val="auto"/>
          <w:sz w:val="21"/>
          <w:szCs w:val="21"/>
          <w:highlight w:val="none"/>
        </w:rPr>
        <w:t>1</w:t>
      </w:r>
      <w:r>
        <w:rPr>
          <w:rFonts w:hint="eastAsia" w:ascii="宋体" w:hAnsi="宋体" w:cs="宋体"/>
          <w:bCs/>
          <w:color w:val="auto"/>
          <w:sz w:val="21"/>
          <w:szCs w:val="21"/>
          <w:highlight w:val="none"/>
        </w:rPr>
        <w:t>次)所发生的费用全部由投标方承担。</w:t>
      </w:r>
    </w:p>
    <w:p>
      <w:pPr>
        <w:pStyle w:val="89"/>
        <w:snapToGrid w:val="0"/>
        <w:spacing w:after="48" w:line="360" w:lineRule="auto"/>
        <w:ind w:firstLine="480"/>
        <w:textAlignment w:val="auto"/>
        <w:rPr>
          <w:rFonts w:hAnsi="宋体" w:cs="宋体"/>
          <w:color w:val="auto"/>
          <w:kern w:val="2"/>
          <w:sz w:val="21"/>
          <w:szCs w:val="21"/>
          <w:highlight w:val="none"/>
        </w:rPr>
      </w:pPr>
      <w:r>
        <w:rPr>
          <w:rFonts w:hint="eastAsia" w:hAnsi="宋体" w:cs="宋体"/>
          <w:color w:val="auto"/>
          <w:kern w:val="2"/>
          <w:sz w:val="21"/>
          <w:szCs w:val="21"/>
          <w:highlight w:val="none"/>
        </w:rPr>
        <w:t>设计联络计划表</w:t>
      </w:r>
    </w:p>
    <w:tbl>
      <w:tblPr>
        <w:tblStyle w:val="34"/>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3"/>
        <w:gridCol w:w="934"/>
        <w:gridCol w:w="3150"/>
        <w:gridCol w:w="1214"/>
        <w:gridCol w:w="1214"/>
        <w:gridCol w:w="12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43" w:type="dxa"/>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序号</w:t>
            </w:r>
          </w:p>
        </w:tc>
        <w:tc>
          <w:tcPr>
            <w:tcW w:w="934" w:type="dxa"/>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次数</w:t>
            </w:r>
          </w:p>
        </w:tc>
        <w:tc>
          <w:tcPr>
            <w:tcW w:w="3150" w:type="dxa"/>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内    容</w:t>
            </w:r>
          </w:p>
        </w:tc>
        <w:tc>
          <w:tcPr>
            <w:tcW w:w="1214" w:type="dxa"/>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时间</w:t>
            </w:r>
          </w:p>
        </w:tc>
        <w:tc>
          <w:tcPr>
            <w:tcW w:w="1214" w:type="dxa"/>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地点</w:t>
            </w:r>
          </w:p>
        </w:tc>
        <w:tc>
          <w:tcPr>
            <w:tcW w:w="1214" w:type="dxa"/>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43"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1</w:t>
            </w:r>
          </w:p>
        </w:tc>
        <w:tc>
          <w:tcPr>
            <w:tcW w:w="934" w:type="dxa"/>
            <w:vAlign w:val="center"/>
          </w:tcPr>
          <w:p>
            <w:pPr>
              <w:snapToGrid w:val="0"/>
              <w:jc w:val="center"/>
              <w:rPr>
                <w:rFonts w:ascii="宋体" w:hAnsi="宋体" w:cs="宋体"/>
                <w:snapToGrid w:val="0"/>
                <w:color w:val="auto"/>
                <w:sz w:val="18"/>
                <w:szCs w:val="18"/>
                <w:highlight w:val="none"/>
              </w:rPr>
            </w:pPr>
          </w:p>
        </w:tc>
        <w:tc>
          <w:tcPr>
            <w:tcW w:w="3150" w:type="dxa"/>
          </w:tcPr>
          <w:p>
            <w:pPr>
              <w:snapToGrid w:val="0"/>
              <w:jc w:val="center"/>
              <w:rPr>
                <w:rFonts w:ascii="宋体" w:hAnsi="宋体" w:cs="宋体"/>
                <w:snapToGrid w:val="0"/>
                <w:color w:val="auto"/>
                <w:sz w:val="18"/>
                <w:szCs w:val="18"/>
                <w:highlight w:val="none"/>
              </w:rPr>
            </w:pPr>
          </w:p>
        </w:tc>
        <w:tc>
          <w:tcPr>
            <w:tcW w:w="1214" w:type="dxa"/>
            <w:vAlign w:val="center"/>
          </w:tcPr>
          <w:p>
            <w:pPr>
              <w:snapToGrid w:val="0"/>
              <w:jc w:val="center"/>
              <w:rPr>
                <w:rFonts w:ascii="宋体" w:hAnsi="宋体" w:cs="宋体"/>
                <w:snapToGrid w:val="0"/>
                <w:color w:val="auto"/>
                <w:sz w:val="18"/>
                <w:szCs w:val="18"/>
                <w:highlight w:val="none"/>
              </w:rPr>
            </w:pPr>
          </w:p>
        </w:tc>
        <w:tc>
          <w:tcPr>
            <w:tcW w:w="1214" w:type="dxa"/>
            <w:vAlign w:val="center"/>
          </w:tcPr>
          <w:p>
            <w:pPr>
              <w:snapToGrid w:val="0"/>
              <w:jc w:val="center"/>
              <w:rPr>
                <w:rFonts w:ascii="宋体" w:hAnsi="宋体" w:cs="宋体"/>
                <w:snapToGrid w:val="0"/>
                <w:color w:val="auto"/>
                <w:sz w:val="18"/>
                <w:szCs w:val="18"/>
                <w:highlight w:val="none"/>
              </w:rPr>
            </w:pPr>
          </w:p>
        </w:tc>
        <w:tc>
          <w:tcPr>
            <w:tcW w:w="1214" w:type="dxa"/>
            <w:vAlign w:val="center"/>
          </w:tcPr>
          <w:p>
            <w:pPr>
              <w:snapToGrid w:val="0"/>
              <w:jc w:val="center"/>
              <w:rPr>
                <w:rFonts w:ascii="宋体" w:hAnsi="宋体" w:cs="宋体"/>
                <w:snapToGrid w:val="0"/>
                <w:color w:val="auto"/>
                <w:sz w:val="18"/>
                <w:szCs w:val="1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643" w:type="dxa"/>
            <w:vAlign w:val="center"/>
          </w:tcPr>
          <w:p>
            <w:pPr>
              <w:snapToGrid w:val="0"/>
              <w:jc w:val="center"/>
              <w:rPr>
                <w:rFonts w:ascii="宋体" w:hAnsi="宋体" w:cs="宋体"/>
                <w:snapToGrid w:val="0"/>
                <w:color w:val="auto"/>
                <w:sz w:val="18"/>
                <w:szCs w:val="18"/>
                <w:highlight w:val="none"/>
              </w:rPr>
            </w:pPr>
            <w:r>
              <w:rPr>
                <w:rFonts w:hint="eastAsia" w:ascii="宋体" w:hAnsi="宋体" w:cs="宋体"/>
                <w:snapToGrid w:val="0"/>
                <w:color w:val="auto"/>
                <w:sz w:val="18"/>
                <w:szCs w:val="18"/>
                <w:highlight w:val="none"/>
              </w:rPr>
              <w:t>2</w:t>
            </w:r>
          </w:p>
        </w:tc>
        <w:tc>
          <w:tcPr>
            <w:tcW w:w="934" w:type="dxa"/>
            <w:vAlign w:val="center"/>
          </w:tcPr>
          <w:p>
            <w:pPr>
              <w:snapToGrid w:val="0"/>
              <w:jc w:val="center"/>
              <w:rPr>
                <w:rFonts w:ascii="宋体" w:hAnsi="宋体" w:cs="宋体"/>
                <w:snapToGrid w:val="0"/>
                <w:color w:val="auto"/>
                <w:sz w:val="18"/>
                <w:szCs w:val="18"/>
                <w:highlight w:val="none"/>
              </w:rPr>
            </w:pPr>
          </w:p>
        </w:tc>
        <w:tc>
          <w:tcPr>
            <w:tcW w:w="3150" w:type="dxa"/>
          </w:tcPr>
          <w:p>
            <w:pPr>
              <w:snapToGrid w:val="0"/>
              <w:jc w:val="center"/>
              <w:rPr>
                <w:rFonts w:ascii="宋体" w:hAnsi="宋体" w:cs="宋体"/>
                <w:snapToGrid w:val="0"/>
                <w:color w:val="auto"/>
                <w:sz w:val="18"/>
                <w:szCs w:val="18"/>
                <w:highlight w:val="none"/>
              </w:rPr>
            </w:pPr>
          </w:p>
        </w:tc>
        <w:tc>
          <w:tcPr>
            <w:tcW w:w="1214" w:type="dxa"/>
            <w:vAlign w:val="center"/>
          </w:tcPr>
          <w:p>
            <w:pPr>
              <w:snapToGrid w:val="0"/>
              <w:jc w:val="center"/>
              <w:rPr>
                <w:rFonts w:ascii="宋体" w:hAnsi="宋体" w:cs="宋体"/>
                <w:snapToGrid w:val="0"/>
                <w:color w:val="auto"/>
                <w:sz w:val="18"/>
                <w:szCs w:val="18"/>
                <w:highlight w:val="none"/>
              </w:rPr>
            </w:pPr>
          </w:p>
        </w:tc>
        <w:tc>
          <w:tcPr>
            <w:tcW w:w="1214" w:type="dxa"/>
            <w:vAlign w:val="center"/>
          </w:tcPr>
          <w:p>
            <w:pPr>
              <w:snapToGrid w:val="0"/>
              <w:jc w:val="center"/>
              <w:rPr>
                <w:rFonts w:ascii="宋体" w:hAnsi="宋体" w:cs="宋体"/>
                <w:snapToGrid w:val="0"/>
                <w:color w:val="auto"/>
                <w:sz w:val="18"/>
                <w:szCs w:val="18"/>
                <w:highlight w:val="none"/>
              </w:rPr>
            </w:pPr>
          </w:p>
        </w:tc>
        <w:tc>
          <w:tcPr>
            <w:tcW w:w="1214" w:type="dxa"/>
            <w:vAlign w:val="center"/>
          </w:tcPr>
          <w:p>
            <w:pPr>
              <w:snapToGrid w:val="0"/>
              <w:jc w:val="center"/>
              <w:rPr>
                <w:rFonts w:ascii="宋体" w:hAnsi="宋体" w:cs="宋体"/>
                <w:snapToGrid w:val="0"/>
                <w:color w:val="auto"/>
                <w:sz w:val="18"/>
                <w:szCs w:val="18"/>
                <w:highlight w:val="none"/>
              </w:rPr>
            </w:pPr>
          </w:p>
        </w:tc>
      </w:tr>
    </w:tbl>
    <w:p>
      <w:pPr>
        <w:topLinePunct/>
        <w:ind w:firstLine="420"/>
        <w:rPr>
          <w:rStyle w:val="43"/>
          <w:rFonts w:cs="宋体"/>
          <w:b w:val="0"/>
          <w:bCs/>
          <w:color w:val="auto"/>
          <w:sz w:val="21"/>
          <w:szCs w:val="21"/>
          <w:highlight w:val="none"/>
        </w:rPr>
      </w:pPr>
      <w:r>
        <w:rPr>
          <w:rStyle w:val="43"/>
          <w:rFonts w:hint="eastAsia" w:cs="宋体"/>
          <w:b w:val="0"/>
          <w:bCs/>
          <w:color w:val="auto"/>
          <w:sz w:val="21"/>
          <w:szCs w:val="21"/>
          <w:highlight w:val="none"/>
        </w:rPr>
        <w:t xml:space="preserve"> </w:t>
      </w:r>
    </w:p>
    <w:p>
      <w:pPr>
        <w:ind w:left="480" w:leftChars="200" w:firstLine="420" w:firstLineChars="200"/>
        <w:rPr>
          <w:rFonts w:cs="宋体"/>
          <w:color w:val="auto"/>
          <w:sz w:val="21"/>
          <w:szCs w:val="21"/>
          <w:highlight w:val="none"/>
        </w:rPr>
        <w:sectPr>
          <w:pgSz w:w="11907" w:h="16840"/>
          <w:pgMar w:top="1440" w:right="1797" w:bottom="1440" w:left="1797" w:header="851" w:footer="992" w:gutter="0"/>
          <w:cols w:space="720" w:num="1"/>
          <w:docGrid w:linePitch="380" w:charSpace="0"/>
        </w:sectPr>
      </w:pPr>
      <w:bookmarkStart w:id="853" w:name="_Toc19259"/>
      <w:bookmarkStart w:id="854" w:name="_Toc25697"/>
      <w:bookmarkStart w:id="855" w:name="_Toc30629"/>
      <w:bookmarkStart w:id="856" w:name="_Toc3065"/>
      <w:bookmarkStart w:id="857" w:name="_Toc31235"/>
      <w:bookmarkStart w:id="858" w:name="_Toc26445"/>
      <w:bookmarkStart w:id="859" w:name="_Toc4572"/>
      <w:bookmarkStart w:id="860" w:name="_Toc2318"/>
      <w:bookmarkStart w:id="861" w:name="_Toc19873"/>
      <w:bookmarkStart w:id="862" w:name="_Toc6388"/>
      <w:bookmarkStart w:id="863" w:name="_Toc27747"/>
      <w:bookmarkStart w:id="864" w:name="_Toc15673"/>
      <w:bookmarkStart w:id="865" w:name="_Toc25839"/>
      <w:bookmarkStart w:id="866" w:name="_Toc17051"/>
      <w:bookmarkStart w:id="867" w:name="_Toc24402"/>
      <w:bookmarkStart w:id="868" w:name="_Toc25565"/>
      <w:bookmarkStart w:id="869" w:name="_Toc24159"/>
      <w:bookmarkStart w:id="870" w:name="_Toc26514"/>
      <w:bookmarkStart w:id="871" w:name="_Toc28400"/>
      <w:bookmarkStart w:id="872" w:name="_Toc10989"/>
      <w:bookmarkStart w:id="873" w:name="_Toc11635"/>
      <w:bookmarkStart w:id="874" w:name="_Toc18183"/>
      <w:bookmarkStart w:id="875" w:name="_Toc20787"/>
      <w:bookmarkStart w:id="876" w:name="_Toc331"/>
      <w:bookmarkStart w:id="877" w:name="_Toc21609"/>
      <w:bookmarkStart w:id="878" w:name="_Toc2679"/>
      <w:bookmarkStart w:id="879" w:name="_Toc2691"/>
      <w:bookmarkStart w:id="880" w:name="_Toc25935"/>
      <w:bookmarkStart w:id="881" w:name="_Toc28347"/>
      <w:bookmarkStart w:id="882" w:name="_Toc8074"/>
    </w:p>
    <w:p>
      <w:pPr>
        <w:pStyle w:val="4"/>
        <w:ind w:firstLine="422" w:firstLineChars="200"/>
        <w:jc w:val="center"/>
        <w:rPr>
          <w:rFonts w:cs="宋体"/>
          <w:color w:val="auto"/>
          <w:kern w:val="2"/>
          <w:sz w:val="21"/>
          <w:szCs w:val="21"/>
          <w:highlight w:val="none"/>
        </w:rPr>
      </w:pPr>
      <w:bookmarkStart w:id="883" w:name="_Toc13219"/>
      <w:bookmarkStart w:id="884" w:name="_Toc5924"/>
      <w:bookmarkStart w:id="885" w:name="_Toc2737"/>
      <w:bookmarkStart w:id="886" w:name="_Toc31098"/>
      <w:bookmarkStart w:id="887" w:name="_Toc12018"/>
      <w:bookmarkStart w:id="888" w:name="_Toc21440"/>
      <w:bookmarkStart w:id="889" w:name="_Toc10648"/>
      <w:bookmarkStart w:id="890" w:name="_Toc6217"/>
      <w:bookmarkStart w:id="891" w:name="_Toc17887"/>
      <w:bookmarkStart w:id="892" w:name="_Toc12711"/>
      <w:bookmarkStart w:id="893" w:name="_Toc474832175"/>
      <w:bookmarkStart w:id="894" w:name="_Toc91247603"/>
      <w:bookmarkStart w:id="895" w:name="_Toc12311"/>
      <w:bookmarkStart w:id="896" w:name="_Toc13231"/>
      <w:bookmarkStart w:id="897" w:name="_Toc30847"/>
      <w:bookmarkStart w:id="898" w:name="_Toc11766"/>
      <w:r>
        <w:rPr>
          <w:rFonts w:hint="eastAsia" w:cs="宋体"/>
          <w:color w:val="auto"/>
          <w:kern w:val="2"/>
          <w:sz w:val="21"/>
          <w:szCs w:val="21"/>
          <w:highlight w:val="none"/>
        </w:rPr>
        <w:t>第十章 工厂检验和监造</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pPr>
        <w:pStyle w:val="5"/>
        <w:rPr>
          <w:rFonts w:cs="宋体"/>
          <w:color w:val="auto"/>
          <w:sz w:val="21"/>
          <w:szCs w:val="21"/>
          <w:highlight w:val="none"/>
        </w:rPr>
      </w:pPr>
      <w:bookmarkStart w:id="899" w:name="_Toc91247604"/>
      <w:r>
        <w:rPr>
          <w:rFonts w:hint="eastAsia" w:cs="宋体"/>
          <w:color w:val="auto"/>
          <w:sz w:val="21"/>
          <w:szCs w:val="21"/>
          <w:highlight w:val="none"/>
        </w:rPr>
        <w:t>1</w:t>
      </w:r>
      <w:r>
        <w:rPr>
          <w:rFonts w:cs="宋体"/>
          <w:color w:val="auto"/>
          <w:sz w:val="21"/>
          <w:szCs w:val="21"/>
          <w:highlight w:val="none"/>
        </w:rPr>
        <w:t xml:space="preserve"> </w:t>
      </w:r>
      <w:r>
        <w:rPr>
          <w:rFonts w:hint="eastAsia" w:cs="宋体"/>
          <w:color w:val="auto"/>
          <w:sz w:val="21"/>
          <w:szCs w:val="21"/>
          <w:highlight w:val="none"/>
        </w:rPr>
        <w:t>概述</w:t>
      </w:r>
      <w:bookmarkEnd w:id="899"/>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1.1  本附件用于合同执行期间对投标方所提供的设备（包括对分包外购设备）进行工厂检验/试验、监造，确保投标方所提供的设备符合相关要求。</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1.2  投标方应在本合同生效后半个月内，向招标方提供与本合同设备有关的监造、检验标准。</w:t>
      </w:r>
    </w:p>
    <w:p>
      <w:pPr>
        <w:pStyle w:val="5"/>
        <w:rPr>
          <w:rFonts w:cs="宋体"/>
          <w:color w:val="auto"/>
          <w:sz w:val="21"/>
          <w:szCs w:val="21"/>
          <w:highlight w:val="none"/>
        </w:rPr>
      </w:pPr>
      <w:bookmarkStart w:id="900" w:name="_Toc91247605"/>
      <w:r>
        <w:rPr>
          <w:rFonts w:hint="eastAsia" w:cs="宋体"/>
          <w:color w:val="auto"/>
          <w:sz w:val="21"/>
          <w:szCs w:val="21"/>
          <w:highlight w:val="none"/>
        </w:rPr>
        <w:t>2 工厂检验</w:t>
      </w:r>
      <w:bookmarkEnd w:id="900"/>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2.1  工厂检验是质量控制的一个重要组成部分。投标方须严格进行厂内各生产环节的检验和试验。投标方提供的合同设备须签发质量证明、检验记录和测试报告，并且作为交货时质量证明文件的组成部分。</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2.2  检验的范围包括原材料和元器件的进厂、部件的加工、组装、试验至出厂试验。</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2.3  投标方检验的结果要满足相关标准的要求，如有不符之处或达不到标准要求，投标方要采取措施处理直至满足要求，同时向招标方提交不一致性报告。投标方发生重大质量问题时应将情况及时通知招标方。</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2.4  工厂检验的所有费用包括在合同总价之中。</w:t>
      </w:r>
    </w:p>
    <w:p>
      <w:pPr>
        <w:pStyle w:val="5"/>
        <w:rPr>
          <w:rFonts w:cs="宋体"/>
          <w:color w:val="auto"/>
          <w:sz w:val="21"/>
          <w:szCs w:val="21"/>
          <w:highlight w:val="none"/>
        </w:rPr>
      </w:pPr>
      <w:bookmarkStart w:id="901" w:name="_Toc91247606"/>
      <w:r>
        <w:rPr>
          <w:rFonts w:hint="eastAsia" w:cs="宋体"/>
          <w:color w:val="auto"/>
          <w:sz w:val="21"/>
          <w:szCs w:val="21"/>
          <w:highlight w:val="none"/>
        </w:rPr>
        <w:t>3 设备监造</w:t>
      </w:r>
      <w:bookmarkEnd w:id="901"/>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3.1  监造依据</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根据本合同的规定参加设备制造和出厂前的检验、试验并监造，但这并不代替和减轻投标方对设备质量的责任。</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3.2  监造方式</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监造方式分为文件见证、现场见证和停工待检，即R点、W点、H点。每次监造内容完成后，投标方和监造代表均须在见证表上履行签字手续。投标方复印3份，交监造代表1份。</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R点：投标方只需提供检查或试验记录或报告的项目，即文件见证。</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W点：招标方监造代表参加的检验或试验的项目，即现场见证。</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H点：投标方在进行至该点时必须停工等待招标方监造代表参加的检验或试验的项目，即停工待检。</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招标方接到见证通知后，应及时派代表到投标方检验或试验的现场参加现场见证或停工待检。如果招标方代表不能按时参加，W点可自动转为R点，但H点如果没有招标方书面通知同意转为R点，投标方不得自行转入下道工序，应与招标方商定更改见证时间，如果更改后，招标方仍不能按时参加，则H点自动转为R点。</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3.3  监造内容</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3.3.1主要项目</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687"/>
        <w:gridCol w:w="3732"/>
        <w:gridCol w:w="577"/>
        <w:gridCol w:w="577"/>
        <w:gridCol w:w="469"/>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4" w:type="dxa"/>
            <w:vMerge w:val="restart"/>
            <w:vAlign w:val="center"/>
          </w:tcPr>
          <w:p>
            <w:pPr>
              <w:snapToGrid w:val="0"/>
              <w:jc w:val="center"/>
              <w:rPr>
                <w:rFonts w:ascii="宋体" w:hAnsi="宋体" w:cs="宋体"/>
                <w:bCs/>
                <w:snapToGrid w:val="0"/>
                <w:color w:val="auto"/>
                <w:sz w:val="18"/>
                <w:szCs w:val="18"/>
                <w:highlight w:val="none"/>
              </w:rPr>
            </w:pPr>
            <w:r>
              <w:rPr>
                <w:rFonts w:hint="eastAsia" w:ascii="宋体" w:hAnsi="宋体" w:cs="宋体"/>
                <w:bCs/>
                <w:snapToGrid w:val="0"/>
                <w:color w:val="auto"/>
                <w:sz w:val="18"/>
                <w:szCs w:val="18"/>
                <w:highlight w:val="none"/>
              </w:rPr>
              <w:t>序号</w:t>
            </w:r>
          </w:p>
        </w:tc>
        <w:tc>
          <w:tcPr>
            <w:tcW w:w="1687" w:type="dxa"/>
            <w:vMerge w:val="restart"/>
            <w:vAlign w:val="center"/>
          </w:tcPr>
          <w:p>
            <w:pPr>
              <w:snapToGrid w:val="0"/>
              <w:jc w:val="center"/>
              <w:rPr>
                <w:rFonts w:ascii="宋体" w:hAnsi="宋体" w:cs="宋体"/>
                <w:bCs/>
                <w:snapToGrid w:val="0"/>
                <w:color w:val="auto"/>
                <w:sz w:val="18"/>
                <w:szCs w:val="18"/>
                <w:highlight w:val="none"/>
              </w:rPr>
            </w:pPr>
            <w:r>
              <w:rPr>
                <w:rFonts w:hint="eastAsia" w:ascii="宋体" w:hAnsi="宋体" w:cs="宋体"/>
                <w:bCs/>
                <w:snapToGrid w:val="0"/>
                <w:color w:val="auto"/>
                <w:sz w:val="18"/>
                <w:szCs w:val="18"/>
                <w:highlight w:val="none"/>
              </w:rPr>
              <w:t>监造部件</w:t>
            </w:r>
          </w:p>
        </w:tc>
        <w:tc>
          <w:tcPr>
            <w:tcW w:w="3732" w:type="dxa"/>
            <w:vMerge w:val="restart"/>
            <w:vAlign w:val="center"/>
          </w:tcPr>
          <w:p>
            <w:pPr>
              <w:snapToGrid w:val="0"/>
              <w:jc w:val="center"/>
              <w:rPr>
                <w:rFonts w:ascii="宋体" w:hAnsi="宋体" w:cs="宋体"/>
                <w:bCs/>
                <w:snapToGrid w:val="0"/>
                <w:color w:val="auto"/>
                <w:sz w:val="18"/>
                <w:szCs w:val="18"/>
                <w:highlight w:val="none"/>
              </w:rPr>
            </w:pPr>
            <w:r>
              <w:rPr>
                <w:rFonts w:hint="eastAsia" w:ascii="宋体" w:hAnsi="宋体" w:cs="宋体"/>
                <w:bCs/>
                <w:snapToGrid w:val="0"/>
                <w:color w:val="auto"/>
                <w:sz w:val="18"/>
                <w:szCs w:val="18"/>
                <w:highlight w:val="none"/>
              </w:rPr>
              <w:t>监造内容</w:t>
            </w:r>
          </w:p>
        </w:tc>
        <w:tc>
          <w:tcPr>
            <w:tcW w:w="1623" w:type="dxa"/>
            <w:gridSpan w:val="3"/>
            <w:vAlign w:val="center"/>
          </w:tcPr>
          <w:p>
            <w:pPr>
              <w:snapToGrid w:val="0"/>
              <w:jc w:val="center"/>
              <w:rPr>
                <w:rFonts w:ascii="宋体" w:hAnsi="宋体" w:cs="宋体"/>
                <w:bCs/>
                <w:snapToGrid w:val="0"/>
                <w:color w:val="auto"/>
                <w:sz w:val="18"/>
                <w:szCs w:val="18"/>
                <w:highlight w:val="none"/>
              </w:rPr>
            </w:pPr>
            <w:r>
              <w:rPr>
                <w:rFonts w:hint="eastAsia" w:ascii="宋体" w:hAnsi="宋体" w:cs="宋体"/>
                <w:bCs/>
                <w:snapToGrid w:val="0"/>
                <w:color w:val="auto"/>
                <w:sz w:val="18"/>
                <w:szCs w:val="18"/>
                <w:highlight w:val="none"/>
              </w:rPr>
              <w:t>监造方式</w:t>
            </w:r>
          </w:p>
        </w:tc>
        <w:tc>
          <w:tcPr>
            <w:tcW w:w="793" w:type="dxa"/>
            <w:vAlign w:val="center"/>
          </w:tcPr>
          <w:p>
            <w:pPr>
              <w:snapToGrid w:val="0"/>
              <w:jc w:val="center"/>
              <w:rPr>
                <w:rFonts w:ascii="宋体" w:hAnsi="宋体" w:cs="宋体"/>
                <w:bCs/>
                <w:snapToGrid w:val="0"/>
                <w:color w:val="auto"/>
                <w:sz w:val="18"/>
                <w:szCs w:val="18"/>
                <w:highlight w:val="none"/>
              </w:rPr>
            </w:pPr>
            <w:r>
              <w:rPr>
                <w:rFonts w:hint="eastAsia" w:ascii="宋体" w:hAnsi="宋体" w:cs="宋体"/>
                <w:bCs/>
                <w:snapToGrid w:val="0"/>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4" w:type="dxa"/>
            <w:vMerge w:val="continue"/>
            <w:vAlign w:val="center"/>
          </w:tcPr>
          <w:p>
            <w:pPr>
              <w:snapToGrid w:val="0"/>
              <w:jc w:val="center"/>
              <w:rPr>
                <w:rFonts w:ascii="宋体" w:hAnsi="宋体" w:cs="宋体"/>
                <w:bCs/>
                <w:snapToGrid w:val="0"/>
                <w:color w:val="auto"/>
                <w:sz w:val="18"/>
                <w:szCs w:val="18"/>
                <w:highlight w:val="none"/>
              </w:rPr>
            </w:pPr>
          </w:p>
        </w:tc>
        <w:tc>
          <w:tcPr>
            <w:tcW w:w="1687" w:type="dxa"/>
            <w:vMerge w:val="continue"/>
            <w:vAlign w:val="center"/>
          </w:tcPr>
          <w:p>
            <w:pPr>
              <w:snapToGrid w:val="0"/>
              <w:jc w:val="center"/>
              <w:rPr>
                <w:rFonts w:ascii="宋体" w:hAnsi="宋体" w:cs="宋体"/>
                <w:bCs/>
                <w:snapToGrid w:val="0"/>
                <w:color w:val="auto"/>
                <w:sz w:val="18"/>
                <w:szCs w:val="18"/>
                <w:highlight w:val="none"/>
              </w:rPr>
            </w:pPr>
          </w:p>
        </w:tc>
        <w:tc>
          <w:tcPr>
            <w:tcW w:w="3732" w:type="dxa"/>
            <w:vMerge w:val="continue"/>
            <w:vAlign w:val="center"/>
          </w:tcPr>
          <w:p>
            <w:pPr>
              <w:snapToGrid w:val="0"/>
              <w:jc w:val="center"/>
              <w:rPr>
                <w:rFonts w:ascii="宋体" w:hAnsi="宋体" w:cs="宋体"/>
                <w:bCs/>
                <w:snapToGrid w:val="0"/>
                <w:color w:val="auto"/>
                <w:sz w:val="18"/>
                <w:szCs w:val="18"/>
                <w:highlight w:val="none"/>
              </w:rPr>
            </w:pPr>
          </w:p>
        </w:tc>
        <w:tc>
          <w:tcPr>
            <w:tcW w:w="577" w:type="dxa"/>
            <w:vAlign w:val="center"/>
          </w:tcPr>
          <w:p>
            <w:pPr>
              <w:snapToGrid w:val="0"/>
              <w:jc w:val="center"/>
              <w:rPr>
                <w:rFonts w:ascii="宋体" w:hAnsi="宋体" w:cs="宋体"/>
                <w:bCs/>
                <w:snapToGrid w:val="0"/>
                <w:color w:val="auto"/>
                <w:sz w:val="18"/>
                <w:szCs w:val="18"/>
                <w:highlight w:val="none"/>
              </w:rPr>
            </w:pPr>
            <w:r>
              <w:rPr>
                <w:rFonts w:hint="eastAsia" w:ascii="宋体" w:hAnsi="宋体" w:cs="宋体"/>
                <w:bCs/>
                <w:snapToGrid w:val="0"/>
                <w:color w:val="auto"/>
                <w:sz w:val="18"/>
                <w:szCs w:val="18"/>
                <w:highlight w:val="none"/>
              </w:rPr>
              <w:t>R</w:t>
            </w:r>
          </w:p>
        </w:tc>
        <w:tc>
          <w:tcPr>
            <w:tcW w:w="577" w:type="dxa"/>
            <w:vAlign w:val="center"/>
          </w:tcPr>
          <w:p>
            <w:pPr>
              <w:snapToGrid w:val="0"/>
              <w:jc w:val="center"/>
              <w:rPr>
                <w:rFonts w:ascii="宋体" w:hAnsi="宋体" w:cs="宋体"/>
                <w:bCs/>
                <w:snapToGrid w:val="0"/>
                <w:color w:val="auto"/>
                <w:sz w:val="18"/>
                <w:szCs w:val="18"/>
                <w:highlight w:val="none"/>
              </w:rPr>
            </w:pPr>
            <w:r>
              <w:rPr>
                <w:rFonts w:hint="eastAsia" w:ascii="宋体" w:hAnsi="宋体" w:cs="宋体"/>
                <w:bCs/>
                <w:snapToGrid w:val="0"/>
                <w:color w:val="auto"/>
                <w:sz w:val="18"/>
                <w:szCs w:val="18"/>
                <w:highlight w:val="none"/>
              </w:rPr>
              <w:t>W</w:t>
            </w:r>
          </w:p>
        </w:tc>
        <w:tc>
          <w:tcPr>
            <w:tcW w:w="469" w:type="dxa"/>
            <w:vAlign w:val="center"/>
          </w:tcPr>
          <w:p>
            <w:pPr>
              <w:snapToGrid w:val="0"/>
              <w:jc w:val="center"/>
              <w:rPr>
                <w:rFonts w:ascii="宋体" w:hAnsi="宋体" w:cs="宋体"/>
                <w:bCs/>
                <w:snapToGrid w:val="0"/>
                <w:color w:val="auto"/>
                <w:sz w:val="18"/>
                <w:szCs w:val="18"/>
                <w:highlight w:val="none"/>
              </w:rPr>
            </w:pPr>
            <w:r>
              <w:rPr>
                <w:rFonts w:hint="eastAsia" w:ascii="宋体" w:hAnsi="宋体" w:cs="宋体"/>
                <w:bCs/>
                <w:snapToGrid w:val="0"/>
                <w:color w:val="auto"/>
                <w:sz w:val="18"/>
                <w:szCs w:val="18"/>
                <w:highlight w:val="none"/>
              </w:rPr>
              <w:t>H</w:t>
            </w:r>
          </w:p>
        </w:tc>
        <w:tc>
          <w:tcPr>
            <w:tcW w:w="793" w:type="dxa"/>
            <w:vAlign w:val="center"/>
          </w:tcPr>
          <w:p>
            <w:pPr>
              <w:snapToGrid w:val="0"/>
              <w:jc w:val="center"/>
              <w:rPr>
                <w:rFonts w:ascii="宋体" w:hAnsi="宋体" w:cs="宋体"/>
                <w:bCs/>
                <w:snapToGrid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vAlign w:val="center"/>
          </w:tcPr>
          <w:p>
            <w:pPr>
              <w:snapToGrid w:val="0"/>
              <w:jc w:val="center"/>
              <w:rPr>
                <w:rFonts w:ascii="宋体" w:hAnsi="宋体" w:cs="宋体"/>
                <w:snapToGrid w:val="0"/>
                <w:color w:val="auto"/>
                <w:sz w:val="18"/>
                <w:szCs w:val="18"/>
                <w:highlight w:val="none"/>
              </w:rPr>
            </w:pPr>
          </w:p>
        </w:tc>
        <w:tc>
          <w:tcPr>
            <w:tcW w:w="1687" w:type="dxa"/>
            <w:vMerge w:val="restart"/>
            <w:vAlign w:val="center"/>
          </w:tcPr>
          <w:p>
            <w:pPr>
              <w:snapToGrid w:val="0"/>
              <w:jc w:val="center"/>
              <w:rPr>
                <w:rFonts w:ascii="宋体" w:hAnsi="宋体" w:cs="宋体"/>
                <w:snapToGrid w:val="0"/>
                <w:color w:val="auto"/>
                <w:sz w:val="18"/>
                <w:szCs w:val="18"/>
                <w:highlight w:val="none"/>
              </w:rPr>
            </w:pPr>
          </w:p>
        </w:tc>
        <w:tc>
          <w:tcPr>
            <w:tcW w:w="3732" w:type="dxa"/>
            <w:vAlign w:val="center"/>
          </w:tcPr>
          <w:p>
            <w:pPr>
              <w:snapToGrid w:val="0"/>
              <w:rPr>
                <w:rFonts w:ascii="宋体" w:hAnsi="宋体" w:cs="宋体"/>
                <w:snapToGrid w:val="0"/>
                <w:color w:val="auto"/>
                <w:sz w:val="18"/>
                <w:szCs w:val="18"/>
                <w:highlight w:val="none"/>
              </w:rPr>
            </w:pPr>
          </w:p>
        </w:tc>
        <w:tc>
          <w:tcPr>
            <w:tcW w:w="577" w:type="dxa"/>
            <w:vAlign w:val="center"/>
          </w:tcPr>
          <w:p>
            <w:pPr>
              <w:snapToGrid w:val="0"/>
              <w:jc w:val="center"/>
              <w:rPr>
                <w:rFonts w:ascii="宋体" w:hAnsi="宋体" w:cs="宋体"/>
                <w:snapToGrid w:val="0"/>
                <w:color w:val="auto"/>
                <w:sz w:val="18"/>
                <w:szCs w:val="18"/>
                <w:highlight w:val="none"/>
              </w:rPr>
            </w:pPr>
          </w:p>
        </w:tc>
        <w:tc>
          <w:tcPr>
            <w:tcW w:w="577" w:type="dxa"/>
            <w:vAlign w:val="center"/>
          </w:tcPr>
          <w:p>
            <w:pPr>
              <w:snapToGrid w:val="0"/>
              <w:jc w:val="center"/>
              <w:rPr>
                <w:rFonts w:ascii="宋体" w:hAnsi="宋体" w:cs="宋体"/>
                <w:snapToGrid w:val="0"/>
                <w:color w:val="auto"/>
                <w:sz w:val="18"/>
                <w:szCs w:val="18"/>
                <w:highlight w:val="none"/>
              </w:rPr>
            </w:pPr>
          </w:p>
        </w:tc>
        <w:tc>
          <w:tcPr>
            <w:tcW w:w="469" w:type="dxa"/>
            <w:vAlign w:val="center"/>
          </w:tcPr>
          <w:p>
            <w:pPr>
              <w:snapToGrid w:val="0"/>
              <w:jc w:val="center"/>
              <w:rPr>
                <w:rFonts w:ascii="宋体" w:hAnsi="宋体" w:cs="宋体"/>
                <w:snapToGrid w:val="0"/>
                <w:color w:val="auto"/>
                <w:sz w:val="18"/>
                <w:szCs w:val="18"/>
                <w:highlight w:val="none"/>
              </w:rPr>
            </w:pPr>
          </w:p>
        </w:tc>
        <w:tc>
          <w:tcPr>
            <w:tcW w:w="793" w:type="dxa"/>
            <w:vAlign w:val="center"/>
          </w:tcPr>
          <w:p>
            <w:pPr>
              <w:snapToGrid w:val="0"/>
              <w:jc w:val="center"/>
              <w:rPr>
                <w:rFonts w:ascii="宋体" w:hAnsi="宋体" w:cs="宋体"/>
                <w:snapToGrid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94" w:type="dxa"/>
            <w:vMerge w:val="continue"/>
            <w:vAlign w:val="center"/>
          </w:tcPr>
          <w:p>
            <w:pPr>
              <w:snapToGrid w:val="0"/>
              <w:jc w:val="center"/>
              <w:rPr>
                <w:rFonts w:ascii="宋体" w:hAnsi="宋体" w:cs="宋体"/>
                <w:snapToGrid w:val="0"/>
                <w:color w:val="auto"/>
                <w:sz w:val="18"/>
                <w:szCs w:val="18"/>
                <w:highlight w:val="none"/>
              </w:rPr>
            </w:pPr>
          </w:p>
        </w:tc>
        <w:tc>
          <w:tcPr>
            <w:tcW w:w="1687" w:type="dxa"/>
            <w:vMerge w:val="continue"/>
            <w:vAlign w:val="center"/>
          </w:tcPr>
          <w:p>
            <w:pPr>
              <w:snapToGrid w:val="0"/>
              <w:jc w:val="center"/>
              <w:rPr>
                <w:rFonts w:ascii="宋体" w:hAnsi="宋体" w:cs="宋体"/>
                <w:snapToGrid w:val="0"/>
                <w:color w:val="auto"/>
                <w:sz w:val="18"/>
                <w:szCs w:val="18"/>
                <w:highlight w:val="none"/>
              </w:rPr>
            </w:pPr>
          </w:p>
        </w:tc>
        <w:tc>
          <w:tcPr>
            <w:tcW w:w="3732" w:type="dxa"/>
            <w:vAlign w:val="center"/>
          </w:tcPr>
          <w:p>
            <w:pPr>
              <w:snapToGrid w:val="0"/>
              <w:rPr>
                <w:rFonts w:ascii="宋体" w:hAnsi="宋体" w:cs="宋体"/>
                <w:snapToGrid w:val="0"/>
                <w:color w:val="auto"/>
                <w:sz w:val="18"/>
                <w:szCs w:val="18"/>
                <w:highlight w:val="none"/>
              </w:rPr>
            </w:pPr>
          </w:p>
        </w:tc>
        <w:tc>
          <w:tcPr>
            <w:tcW w:w="577" w:type="dxa"/>
            <w:vAlign w:val="center"/>
          </w:tcPr>
          <w:p>
            <w:pPr>
              <w:snapToGrid w:val="0"/>
              <w:jc w:val="center"/>
              <w:rPr>
                <w:rFonts w:ascii="宋体" w:hAnsi="宋体" w:cs="宋体"/>
                <w:snapToGrid w:val="0"/>
                <w:color w:val="auto"/>
                <w:sz w:val="18"/>
                <w:szCs w:val="18"/>
                <w:highlight w:val="none"/>
              </w:rPr>
            </w:pPr>
          </w:p>
        </w:tc>
        <w:tc>
          <w:tcPr>
            <w:tcW w:w="577" w:type="dxa"/>
            <w:vAlign w:val="center"/>
          </w:tcPr>
          <w:p>
            <w:pPr>
              <w:snapToGrid w:val="0"/>
              <w:jc w:val="center"/>
              <w:rPr>
                <w:rFonts w:ascii="宋体" w:hAnsi="宋体" w:cs="宋体"/>
                <w:snapToGrid w:val="0"/>
                <w:color w:val="auto"/>
                <w:sz w:val="18"/>
                <w:szCs w:val="18"/>
                <w:highlight w:val="none"/>
              </w:rPr>
            </w:pPr>
          </w:p>
        </w:tc>
        <w:tc>
          <w:tcPr>
            <w:tcW w:w="469" w:type="dxa"/>
            <w:vAlign w:val="center"/>
          </w:tcPr>
          <w:p>
            <w:pPr>
              <w:snapToGrid w:val="0"/>
              <w:jc w:val="center"/>
              <w:rPr>
                <w:rFonts w:ascii="宋体" w:hAnsi="宋体" w:cs="宋体"/>
                <w:snapToGrid w:val="0"/>
                <w:color w:val="auto"/>
                <w:sz w:val="18"/>
                <w:szCs w:val="18"/>
                <w:highlight w:val="none"/>
              </w:rPr>
            </w:pPr>
          </w:p>
        </w:tc>
        <w:tc>
          <w:tcPr>
            <w:tcW w:w="793" w:type="dxa"/>
            <w:vAlign w:val="center"/>
          </w:tcPr>
          <w:p>
            <w:pPr>
              <w:snapToGrid w:val="0"/>
              <w:jc w:val="center"/>
              <w:rPr>
                <w:rFonts w:ascii="宋体" w:hAnsi="宋体" w:cs="宋体"/>
                <w:snapToGrid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vAlign w:val="center"/>
          </w:tcPr>
          <w:p>
            <w:pPr>
              <w:snapToGrid w:val="0"/>
              <w:jc w:val="center"/>
              <w:rPr>
                <w:rFonts w:ascii="宋体" w:hAnsi="宋体" w:cs="宋体"/>
                <w:snapToGrid w:val="0"/>
                <w:color w:val="auto"/>
                <w:sz w:val="18"/>
                <w:szCs w:val="18"/>
                <w:highlight w:val="none"/>
              </w:rPr>
            </w:pPr>
          </w:p>
        </w:tc>
        <w:tc>
          <w:tcPr>
            <w:tcW w:w="1687" w:type="dxa"/>
            <w:vMerge w:val="continue"/>
            <w:vAlign w:val="center"/>
          </w:tcPr>
          <w:p>
            <w:pPr>
              <w:snapToGrid w:val="0"/>
              <w:jc w:val="center"/>
              <w:rPr>
                <w:rFonts w:ascii="宋体" w:hAnsi="宋体" w:cs="宋体"/>
                <w:snapToGrid w:val="0"/>
                <w:color w:val="auto"/>
                <w:sz w:val="18"/>
                <w:szCs w:val="18"/>
                <w:highlight w:val="none"/>
              </w:rPr>
            </w:pPr>
          </w:p>
        </w:tc>
        <w:tc>
          <w:tcPr>
            <w:tcW w:w="3732" w:type="dxa"/>
            <w:vAlign w:val="center"/>
          </w:tcPr>
          <w:p>
            <w:pPr>
              <w:snapToGrid w:val="0"/>
              <w:rPr>
                <w:rFonts w:ascii="宋体" w:hAnsi="宋体" w:cs="宋体"/>
                <w:snapToGrid w:val="0"/>
                <w:color w:val="auto"/>
                <w:sz w:val="18"/>
                <w:szCs w:val="18"/>
                <w:highlight w:val="none"/>
              </w:rPr>
            </w:pPr>
          </w:p>
        </w:tc>
        <w:tc>
          <w:tcPr>
            <w:tcW w:w="577" w:type="dxa"/>
            <w:vAlign w:val="center"/>
          </w:tcPr>
          <w:p>
            <w:pPr>
              <w:snapToGrid w:val="0"/>
              <w:jc w:val="center"/>
              <w:rPr>
                <w:rFonts w:ascii="宋体" w:hAnsi="宋体" w:cs="宋体"/>
                <w:snapToGrid w:val="0"/>
                <w:color w:val="auto"/>
                <w:sz w:val="18"/>
                <w:szCs w:val="18"/>
                <w:highlight w:val="none"/>
              </w:rPr>
            </w:pPr>
          </w:p>
        </w:tc>
        <w:tc>
          <w:tcPr>
            <w:tcW w:w="577" w:type="dxa"/>
            <w:vAlign w:val="center"/>
          </w:tcPr>
          <w:p>
            <w:pPr>
              <w:snapToGrid w:val="0"/>
              <w:jc w:val="center"/>
              <w:rPr>
                <w:rFonts w:ascii="宋体" w:hAnsi="宋体" w:cs="宋体"/>
                <w:snapToGrid w:val="0"/>
                <w:color w:val="auto"/>
                <w:sz w:val="18"/>
                <w:szCs w:val="18"/>
                <w:highlight w:val="none"/>
              </w:rPr>
            </w:pPr>
          </w:p>
        </w:tc>
        <w:tc>
          <w:tcPr>
            <w:tcW w:w="469" w:type="dxa"/>
            <w:vAlign w:val="center"/>
          </w:tcPr>
          <w:p>
            <w:pPr>
              <w:snapToGrid w:val="0"/>
              <w:jc w:val="center"/>
              <w:rPr>
                <w:rFonts w:ascii="宋体" w:hAnsi="宋体" w:cs="宋体"/>
                <w:snapToGrid w:val="0"/>
                <w:color w:val="auto"/>
                <w:sz w:val="18"/>
                <w:szCs w:val="18"/>
                <w:highlight w:val="none"/>
              </w:rPr>
            </w:pPr>
          </w:p>
        </w:tc>
        <w:tc>
          <w:tcPr>
            <w:tcW w:w="793" w:type="dxa"/>
            <w:vAlign w:val="center"/>
          </w:tcPr>
          <w:p>
            <w:pPr>
              <w:snapToGrid w:val="0"/>
              <w:jc w:val="center"/>
              <w:rPr>
                <w:rFonts w:ascii="宋体" w:hAnsi="宋体" w:cs="宋体"/>
                <w:snapToGrid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vAlign w:val="center"/>
          </w:tcPr>
          <w:p>
            <w:pPr>
              <w:snapToGrid w:val="0"/>
              <w:jc w:val="center"/>
              <w:rPr>
                <w:rFonts w:ascii="宋体" w:hAnsi="宋体" w:cs="宋体"/>
                <w:snapToGrid w:val="0"/>
                <w:color w:val="auto"/>
                <w:sz w:val="18"/>
                <w:szCs w:val="18"/>
                <w:highlight w:val="none"/>
              </w:rPr>
            </w:pPr>
          </w:p>
        </w:tc>
        <w:tc>
          <w:tcPr>
            <w:tcW w:w="1687" w:type="dxa"/>
            <w:vMerge w:val="restart"/>
            <w:vAlign w:val="center"/>
          </w:tcPr>
          <w:p>
            <w:pPr>
              <w:snapToGrid w:val="0"/>
              <w:jc w:val="center"/>
              <w:rPr>
                <w:rFonts w:ascii="宋体" w:hAnsi="宋体" w:cs="宋体"/>
                <w:snapToGrid w:val="0"/>
                <w:color w:val="auto"/>
                <w:sz w:val="18"/>
                <w:szCs w:val="18"/>
                <w:highlight w:val="none"/>
              </w:rPr>
            </w:pPr>
          </w:p>
        </w:tc>
        <w:tc>
          <w:tcPr>
            <w:tcW w:w="3732" w:type="dxa"/>
            <w:vAlign w:val="center"/>
          </w:tcPr>
          <w:p>
            <w:pPr>
              <w:snapToGrid w:val="0"/>
              <w:rPr>
                <w:rFonts w:ascii="宋体" w:hAnsi="宋体" w:cs="宋体"/>
                <w:snapToGrid w:val="0"/>
                <w:color w:val="auto"/>
                <w:sz w:val="18"/>
                <w:szCs w:val="18"/>
                <w:highlight w:val="none"/>
              </w:rPr>
            </w:pPr>
          </w:p>
        </w:tc>
        <w:tc>
          <w:tcPr>
            <w:tcW w:w="577" w:type="dxa"/>
            <w:vAlign w:val="center"/>
          </w:tcPr>
          <w:p>
            <w:pPr>
              <w:snapToGrid w:val="0"/>
              <w:jc w:val="center"/>
              <w:rPr>
                <w:rFonts w:ascii="宋体" w:hAnsi="宋体" w:cs="宋体"/>
                <w:snapToGrid w:val="0"/>
                <w:color w:val="auto"/>
                <w:sz w:val="18"/>
                <w:szCs w:val="18"/>
                <w:highlight w:val="none"/>
              </w:rPr>
            </w:pPr>
          </w:p>
        </w:tc>
        <w:tc>
          <w:tcPr>
            <w:tcW w:w="577" w:type="dxa"/>
            <w:vAlign w:val="center"/>
          </w:tcPr>
          <w:p>
            <w:pPr>
              <w:snapToGrid w:val="0"/>
              <w:jc w:val="center"/>
              <w:rPr>
                <w:rFonts w:ascii="宋体" w:hAnsi="宋体" w:cs="宋体"/>
                <w:snapToGrid w:val="0"/>
                <w:color w:val="auto"/>
                <w:sz w:val="18"/>
                <w:szCs w:val="18"/>
                <w:highlight w:val="none"/>
              </w:rPr>
            </w:pPr>
          </w:p>
        </w:tc>
        <w:tc>
          <w:tcPr>
            <w:tcW w:w="469" w:type="dxa"/>
            <w:vAlign w:val="center"/>
          </w:tcPr>
          <w:p>
            <w:pPr>
              <w:snapToGrid w:val="0"/>
              <w:jc w:val="center"/>
              <w:rPr>
                <w:rFonts w:ascii="宋体" w:hAnsi="宋体" w:cs="宋体"/>
                <w:snapToGrid w:val="0"/>
                <w:color w:val="auto"/>
                <w:sz w:val="18"/>
                <w:szCs w:val="18"/>
                <w:highlight w:val="none"/>
              </w:rPr>
            </w:pPr>
          </w:p>
        </w:tc>
        <w:tc>
          <w:tcPr>
            <w:tcW w:w="793" w:type="dxa"/>
            <w:vAlign w:val="center"/>
          </w:tcPr>
          <w:p>
            <w:pPr>
              <w:snapToGrid w:val="0"/>
              <w:jc w:val="center"/>
              <w:rPr>
                <w:rFonts w:ascii="宋体" w:hAnsi="宋体" w:cs="宋体"/>
                <w:snapToGrid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vAlign w:val="center"/>
          </w:tcPr>
          <w:p>
            <w:pPr>
              <w:snapToGrid w:val="0"/>
              <w:jc w:val="center"/>
              <w:rPr>
                <w:rFonts w:ascii="宋体" w:hAnsi="宋体" w:cs="宋体"/>
                <w:snapToGrid w:val="0"/>
                <w:color w:val="auto"/>
                <w:sz w:val="18"/>
                <w:szCs w:val="18"/>
                <w:highlight w:val="none"/>
              </w:rPr>
            </w:pPr>
          </w:p>
        </w:tc>
        <w:tc>
          <w:tcPr>
            <w:tcW w:w="1687" w:type="dxa"/>
            <w:vMerge w:val="continue"/>
            <w:vAlign w:val="center"/>
          </w:tcPr>
          <w:p>
            <w:pPr>
              <w:snapToGrid w:val="0"/>
              <w:jc w:val="center"/>
              <w:rPr>
                <w:rFonts w:ascii="宋体" w:hAnsi="宋体" w:cs="宋体"/>
                <w:snapToGrid w:val="0"/>
                <w:color w:val="auto"/>
                <w:sz w:val="18"/>
                <w:szCs w:val="18"/>
                <w:highlight w:val="none"/>
              </w:rPr>
            </w:pPr>
          </w:p>
        </w:tc>
        <w:tc>
          <w:tcPr>
            <w:tcW w:w="3732" w:type="dxa"/>
            <w:vAlign w:val="center"/>
          </w:tcPr>
          <w:p>
            <w:pPr>
              <w:snapToGrid w:val="0"/>
              <w:rPr>
                <w:rFonts w:ascii="宋体" w:hAnsi="宋体" w:cs="宋体"/>
                <w:snapToGrid w:val="0"/>
                <w:color w:val="auto"/>
                <w:sz w:val="18"/>
                <w:szCs w:val="18"/>
                <w:highlight w:val="none"/>
              </w:rPr>
            </w:pPr>
          </w:p>
        </w:tc>
        <w:tc>
          <w:tcPr>
            <w:tcW w:w="577" w:type="dxa"/>
            <w:vAlign w:val="center"/>
          </w:tcPr>
          <w:p>
            <w:pPr>
              <w:snapToGrid w:val="0"/>
              <w:jc w:val="center"/>
              <w:rPr>
                <w:rFonts w:ascii="宋体" w:hAnsi="宋体" w:cs="宋体"/>
                <w:snapToGrid w:val="0"/>
                <w:color w:val="auto"/>
                <w:sz w:val="18"/>
                <w:szCs w:val="18"/>
                <w:highlight w:val="none"/>
              </w:rPr>
            </w:pPr>
          </w:p>
        </w:tc>
        <w:tc>
          <w:tcPr>
            <w:tcW w:w="577" w:type="dxa"/>
            <w:vAlign w:val="center"/>
          </w:tcPr>
          <w:p>
            <w:pPr>
              <w:snapToGrid w:val="0"/>
              <w:jc w:val="center"/>
              <w:rPr>
                <w:rFonts w:ascii="宋体" w:hAnsi="宋体" w:cs="宋体"/>
                <w:snapToGrid w:val="0"/>
                <w:color w:val="auto"/>
                <w:sz w:val="18"/>
                <w:szCs w:val="18"/>
                <w:highlight w:val="none"/>
              </w:rPr>
            </w:pPr>
          </w:p>
        </w:tc>
        <w:tc>
          <w:tcPr>
            <w:tcW w:w="469" w:type="dxa"/>
            <w:vAlign w:val="center"/>
          </w:tcPr>
          <w:p>
            <w:pPr>
              <w:snapToGrid w:val="0"/>
              <w:jc w:val="center"/>
              <w:rPr>
                <w:rFonts w:ascii="宋体" w:hAnsi="宋体" w:cs="宋体"/>
                <w:snapToGrid w:val="0"/>
                <w:color w:val="auto"/>
                <w:sz w:val="18"/>
                <w:szCs w:val="18"/>
                <w:highlight w:val="none"/>
              </w:rPr>
            </w:pPr>
          </w:p>
        </w:tc>
        <w:tc>
          <w:tcPr>
            <w:tcW w:w="793" w:type="dxa"/>
            <w:vAlign w:val="center"/>
          </w:tcPr>
          <w:p>
            <w:pPr>
              <w:snapToGrid w:val="0"/>
              <w:jc w:val="center"/>
              <w:rPr>
                <w:rFonts w:ascii="宋体" w:hAnsi="宋体" w:cs="宋体"/>
                <w:snapToGrid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vAlign w:val="center"/>
          </w:tcPr>
          <w:p>
            <w:pPr>
              <w:snapToGrid w:val="0"/>
              <w:jc w:val="center"/>
              <w:rPr>
                <w:rFonts w:ascii="宋体" w:hAnsi="宋体" w:cs="宋体"/>
                <w:snapToGrid w:val="0"/>
                <w:color w:val="auto"/>
                <w:sz w:val="18"/>
                <w:szCs w:val="18"/>
                <w:highlight w:val="none"/>
              </w:rPr>
            </w:pPr>
          </w:p>
        </w:tc>
        <w:tc>
          <w:tcPr>
            <w:tcW w:w="1687" w:type="dxa"/>
            <w:vMerge w:val="continue"/>
            <w:vAlign w:val="center"/>
          </w:tcPr>
          <w:p>
            <w:pPr>
              <w:snapToGrid w:val="0"/>
              <w:jc w:val="center"/>
              <w:rPr>
                <w:rFonts w:ascii="宋体" w:hAnsi="宋体" w:cs="宋体"/>
                <w:snapToGrid w:val="0"/>
                <w:color w:val="auto"/>
                <w:sz w:val="18"/>
                <w:szCs w:val="18"/>
                <w:highlight w:val="none"/>
              </w:rPr>
            </w:pPr>
          </w:p>
        </w:tc>
        <w:tc>
          <w:tcPr>
            <w:tcW w:w="3732" w:type="dxa"/>
            <w:vAlign w:val="center"/>
          </w:tcPr>
          <w:p>
            <w:pPr>
              <w:snapToGrid w:val="0"/>
              <w:rPr>
                <w:rFonts w:ascii="宋体" w:hAnsi="宋体" w:cs="宋体"/>
                <w:snapToGrid w:val="0"/>
                <w:color w:val="auto"/>
                <w:sz w:val="18"/>
                <w:szCs w:val="18"/>
                <w:highlight w:val="none"/>
              </w:rPr>
            </w:pPr>
          </w:p>
        </w:tc>
        <w:tc>
          <w:tcPr>
            <w:tcW w:w="577" w:type="dxa"/>
            <w:vAlign w:val="center"/>
          </w:tcPr>
          <w:p>
            <w:pPr>
              <w:snapToGrid w:val="0"/>
              <w:jc w:val="center"/>
              <w:rPr>
                <w:rFonts w:ascii="宋体" w:hAnsi="宋体" w:cs="宋体"/>
                <w:snapToGrid w:val="0"/>
                <w:color w:val="auto"/>
                <w:sz w:val="18"/>
                <w:szCs w:val="18"/>
                <w:highlight w:val="none"/>
              </w:rPr>
            </w:pPr>
          </w:p>
        </w:tc>
        <w:tc>
          <w:tcPr>
            <w:tcW w:w="577" w:type="dxa"/>
            <w:vAlign w:val="center"/>
          </w:tcPr>
          <w:p>
            <w:pPr>
              <w:snapToGrid w:val="0"/>
              <w:jc w:val="center"/>
              <w:rPr>
                <w:rFonts w:ascii="宋体" w:hAnsi="宋体" w:cs="宋体"/>
                <w:snapToGrid w:val="0"/>
                <w:color w:val="auto"/>
                <w:sz w:val="18"/>
                <w:szCs w:val="18"/>
                <w:highlight w:val="none"/>
              </w:rPr>
            </w:pPr>
          </w:p>
        </w:tc>
        <w:tc>
          <w:tcPr>
            <w:tcW w:w="469" w:type="dxa"/>
            <w:vAlign w:val="center"/>
          </w:tcPr>
          <w:p>
            <w:pPr>
              <w:snapToGrid w:val="0"/>
              <w:jc w:val="center"/>
              <w:rPr>
                <w:rFonts w:ascii="宋体" w:hAnsi="宋体" w:cs="宋体"/>
                <w:snapToGrid w:val="0"/>
                <w:color w:val="auto"/>
                <w:sz w:val="18"/>
                <w:szCs w:val="18"/>
                <w:highlight w:val="none"/>
              </w:rPr>
            </w:pPr>
          </w:p>
        </w:tc>
        <w:tc>
          <w:tcPr>
            <w:tcW w:w="793" w:type="dxa"/>
            <w:vAlign w:val="center"/>
          </w:tcPr>
          <w:p>
            <w:pPr>
              <w:snapToGrid w:val="0"/>
              <w:jc w:val="center"/>
              <w:rPr>
                <w:rFonts w:ascii="宋体" w:hAnsi="宋体" w:cs="宋体"/>
                <w:snapToGrid w:val="0"/>
                <w:color w:val="auto"/>
                <w:sz w:val="18"/>
                <w:szCs w:val="18"/>
                <w:highlight w:val="none"/>
              </w:rPr>
            </w:pPr>
          </w:p>
        </w:tc>
      </w:tr>
    </w:tbl>
    <w:p>
      <w:pPr>
        <w:rPr>
          <w:rFonts w:ascii="宋体" w:hAnsi="宋体" w:cs="宋体"/>
          <w:color w:val="auto"/>
          <w:sz w:val="21"/>
          <w:szCs w:val="21"/>
          <w:highlight w:val="none"/>
        </w:rPr>
      </w:pP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3.3.2  招标方有权根据具体情况对以上所述监造内容进行增减。</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3.3.3  投标方应配合招标方工作，并尽可能在通讯、住宿、饮食等方面给监造代表提供方便。</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3.3.4  投标方有配合招标方监造的义务，并及时提供相关资料，并不由此发生任何费用。</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3.3.5  招标方监造代表有权查（借）阅与合同监造设备有关的技术资料，如招标方认为需要复印存档，投标方应提供方便。</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3.3.6  投标方应在现场见证或停工待检前10天将设备监造项目及时间通知招标方监造代表。</w:t>
      </w:r>
    </w:p>
    <w:p>
      <w:pPr>
        <w:topLinePun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3.3.7  投标方应在见证后10天内将有关检查或试验记录或报告资料提供给招标方监造代表</w:t>
      </w:r>
      <w:bookmarkEnd w:id="532"/>
      <w:bookmarkEnd w:id="533"/>
      <w:bookmarkEnd w:id="534"/>
      <w:bookmarkEnd w:id="535"/>
      <w:bookmarkEnd w:id="536"/>
      <w:bookmarkEnd w:id="705"/>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r>
        <w:rPr>
          <w:rFonts w:hint="eastAsia" w:ascii="宋体" w:hAnsi="宋体" w:cs="宋体"/>
          <w:bCs/>
          <w:color w:val="auto"/>
          <w:sz w:val="21"/>
          <w:szCs w:val="21"/>
          <w:highlight w:val="none"/>
        </w:rPr>
        <w:t>。</w:t>
      </w:r>
    </w:p>
    <w:p>
      <w:pPr>
        <w:topLinePunct/>
        <w:ind w:firstLine="420" w:firstLineChars="200"/>
        <w:rPr>
          <w:rFonts w:ascii="宋体" w:hAnsi="宋体" w:cs="宋体"/>
          <w:bCs/>
          <w:color w:val="auto"/>
          <w:sz w:val="21"/>
          <w:szCs w:val="21"/>
          <w:highlight w:val="none"/>
        </w:rPr>
      </w:pPr>
    </w:p>
    <w:p>
      <w:pPr>
        <w:pStyle w:val="4"/>
        <w:ind w:firstLine="422" w:firstLineChars="200"/>
        <w:jc w:val="center"/>
        <w:rPr>
          <w:rFonts w:cs="宋体"/>
          <w:color w:val="auto"/>
          <w:kern w:val="2"/>
          <w:sz w:val="21"/>
          <w:szCs w:val="21"/>
          <w:highlight w:val="none"/>
        </w:rPr>
      </w:pPr>
      <w:r>
        <w:rPr>
          <w:rFonts w:cs="宋体"/>
          <w:bCs/>
          <w:color w:val="auto"/>
          <w:sz w:val="21"/>
          <w:szCs w:val="21"/>
          <w:highlight w:val="none"/>
        </w:rPr>
        <w:br w:type="page"/>
      </w:r>
      <w:bookmarkStart w:id="902" w:name="_Toc91247607"/>
      <w:r>
        <w:rPr>
          <w:rFonts w:hint="eastAsia" w:cs="宋体"/>
          <w:color w:val="auto"/>
          <w:kern w:val="2"/>
          <w:sz w:val="21"/>
          <w:szCs w:val="21"/>
          <w:highlight w:val="none"/>
        </w:rPr>
        <w:t>第十一章 附图</w:t>
      </w:r>
      <w:bookmarkEnd w:id="902"/>
    </w:p>
    <w:p>
      <w:pPr>
        <w:topLinePunct/>
        <w:rPr>
          <w:rFonts w:ascii="宋体" w:hAnsi="宋体" w:cs="宋体"/>
          <w:bCs/>
          <w:color w:val="auto"/>
          <w:sz w:val="21"/>
          <w:szCs w:val="21"/>
          <w:highlight w:val="none"/>
        </w:rPr>
      </w:pPr>
      <w:r>
        <w:rPr>
          <w:rFonts w:hint="eastAsia" w:ascii="宋体" w:hAnsi="宋体" w:cs="宋体"/>
          <w:bCs/>
          <w:color w:val="auto"/>
          <w:sz w:val="21"/>
          <w:szCs w:val="21"/>
          <w:highlight w:val="none"/>
        </w:rPr>
        <w:t>无</w:t>
      </w:r>
    </w:p>
    <w:sectPr>
      <w:pgSz w:w="11907" w:h="16840"/>
      <w:pgMar w:top="1440" w:right="1797" w:bottom="1440" w:left="1797" w:header="851" w:footer="992"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汉仪大宋简">
    <w:altName w:val="宋体"/>
    <w:panose1 w:val="00000000000000000000"/>
    <w:charset w:val="86"/>
    <w:family w:val="modern"/>
    <w:pitch w:val="default"/>
    <w:sig w:usb0="00000000" w:usb1="00000000" w:usb2="00000012" w:usb3="00000000" w:csb0="00040000" w:csb1="00000000"/>
  </w:font>
  <w:font w:name="Monotype Corsiva">
    <w:altName w:val="Mongolian Baiti"/>
    <w:panose1 w:val="03010101010201010101"/>
    <w:charset w:val="00"/>
    <w:family w:val="script"/>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sz w:val="21"/>
        <w:szCs w:val="21"/>
      </w:rPr>
    </w:pPr>
    <w:r>
      <w:rPr>
        <w:rFonts w:hint="eastAsia"/>
        <w:sz w:val="21"/>
        <w:szCs w:val="21"/>
      </w:rPr>
      <w:t xml:space="preserve">第 </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t>20</w:t>
    </w:r>
    <w:r>
      <w:rPr>
        <w:rFonts w:hint="eastAsia"/>
        <w:sz w:val="21"/>
        <w:szCs w:val="21"/>
      </w:rPr>
      <w:fldChar w:fldCharType="end"/>
    </w:r>
    <w:r>
      <w:rPr>
        <w:rFonts w:hint="eastAsia"/>
        <w:sz w:val="21"/>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180" w:firstLineChars="1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180" w:firstLineChars="100"/>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1">
    <w:nsid w:val="00000003"/>
    <w:multiLevelType w:val="multilevel"/>
    <w:tmpl w:val="00000003"/>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2">
    <w:nsid w:val="0000000F"/>
    <w:multiLevelType w:val="singleLevel"/>
    <w:tmpl w:val="0000000F"/>
    <w:lvl w:ilvl="0" w:tentative="0">
      <w:start w:val="3"/>
      <w:numFmt w:val="bullet"/>
      <w:lvlText w:val="—"/>
      <w:lvlJc w:val="left"/>
      <w:pPr>
        <w:tabs>
          <w:tab w:val="left" w:pos="912"/>
        </w:tabs>
        <w:ind w:left="912" w:hanging="396"/>
      </w:pPr>
      <w:rPr>
        <w:rFonts w:hint="eastAsia" w:ascii="宋体"/>
      </w:rPr>
    </w:lvl>
  </w:abstractNum>
  <w:abstractNum w:abstractNumId="3">
    <w:nsid w:val="00000010"/>
    <w:multiLevelType w:val="multilevel"/>
    <w:tmpl w:val="00000010"/>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4">
    <w:nsid w:val="00000017"/>
    <w:multiLevelType w:val="multilevel"/>
    <w:tmpl w:val="0000001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4CBF08D2"/>
    <w:multiLevelType w:val="multilevel"/>
    <w:tmpl w:val="4CBF08D2"/>
    <w:lvl w:ilvl="0" w:tentative="0">
      <w:start w:val="28"/>
      <w:numFmt w:val="decimal"/>
      <w:lvlText w:val="（%1）"/>
      <w:lvlJc w:val="left"/>
      <w:pPr>
        <w:ind w:left="1200" w:hanging="720"/>
      </w:pPr>
      <w:rPr>
        <w:rFonts w:hint="default"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575FED77"/>
    <w:multiLevelType w:val="singleLevel"/>
    <w:tmpl w:val="575FED77"/>
    <w:lvl w:ilvl="0" w:tentative="0">
      <w:start w:val="1"/>
      <w:numFmt w:val="decimal"/>
      <w:pStyle w:val="82"/>
      <w:lvlText w:val="%1)"/>
      <w:lvlJc w:val="left"/>
      <w:pPr>
        <w:tabs>
          <w:tab w:val="left" w:pos="425"/>
        </w:tabs>
        <w:ind w:left="425" w:hanging="425"/>
      </w:pPr>
      <w:rPr>
        <w:rFonts w:hint="default"/>
        <w:sz w:val="21"/>
        <w:szCs w:val="21"/>
      </w:rPr>
    </w:lvl>
  </w:abstractNum>
  <w:abstractNum w:abstractNumId="7">
    <w:nsid w:val="58A299D5"/>
    <w:multiLevelType w:val="singleLevel"/>
    <w:tmpl w:val="58A299D5"/>
    <w:lvl w:ilvl="0" w:tentative="0">
      <w:start w:val="1"/>
      <w:numFmt w:val="decimal"/>
      <w:pStyle w:val="102"/>
      <w:suff w:val="nothing"/>
      <w:lvlText w:val="%1）"/>
      <w:lvlJc w:val="left"/>
    </w:lvl>
  </w:abstractNum>
  <w:abstractNum w:abstractNumId="8">
    <w:nsid w:val="783A1DA8"/>
    <w:multiLevelType w:val="multilevel"/>
    <w:tmpl w:val="783A1DA8"/>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7"/>
  </w:num>
  <w:num w:numId="3">
    <w:abstractNumId w:val="5"/>
  </w:num>
  <w:num w:numId="4">
    <w:abstractNumId w:val="2"/>
  </w:num>
  <w:num w:numId="5">
    <w:abstractNumId w:val="8"/>
  </w:num>
  <w:num w:numId="6">
    <w:abstractNumId w:val="4"/>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40"/>
  <w:drawingGridVerticalSpacing w:val="190"/>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Y2Q4MTcxOTRlZjJiOGVjNDI4MTk3NzQwMTM1YWMifQ=="/>
  </w:docVars>
  <w:rsids>
    <w:rsidRoot w:val="00D159D1"/>
    <w:rsid w:val="000027B6"/>
    <w:rsid w:val="00005FCE"/>
    <w:rsid w:val="000113AD"/>
    <w:rsid w:val="000115FA"/>
    <w:rsid w:val="00017319"/>
    <w:rsid w:val="00020722"/>
    <w:rsid w:val="00023DAF"/>
    <w:rsid w:val="00026FAE"/>
    <w:rsid w:val="00027970"/>
    <w:rsid w:val="00027E99"/>
    <w:rsid w:val="00036171"/>
    <w:rsid w:val="00037773"/>
    <w:rsid w:val="00044B32"/>
    <w:rsid w:val="00052079"/>
    <w:rsid w:val="00057B6B"/>
    <w:rsid w:val="00060A0F"/>
    <w:rsid w:val="00062E86"/>
    <w:rsid w:val="00066079"/>
    <w:rsid w:val="00077C79"/>
    <w:rsid w:val="00083A95"/>
    <w:rsid w:val="00084047"/>
    <w:rsid w:val="00085376"/>
    <w:rsid w:val="00092E60"/>
    <w:rsid w:val="00093A4E"/>
    <w:rsid w:val="00097E1F"/>
    <w:rsid w:val="000A00C8"/>
    <w:rsid w:val="000A059F"/>
    <w:rsid w:val="000A0B1F"/>
    <w:rsid w:val="000A1C7F"/>
    <w:rsid w:val="000A2AE5"/>
    <w:rsid w:val="000A4E3D"/>
    <w:rsid w:val="000A72CA"/>
    <w:rsid w:val="000A7A45"/>
    <w:rsid w:val="000B2B75"/>
    <w:rsid w:val="000B48BA"/>
    <w:rsid w:val="000B5E05"/>
    <w:rsid w:val="000B61EF"/>
    <w:rsid w:val="000B6688"/>
    <w:rsid w:val="000B6EF1"/>
    <w:rsid w:val="000C5305"/>
    <w:rsid w:val="000D6D87"/>
    <w:rsid w:val="000E1AFD"/>
    <w:rsid w:val="000E26FE"/>
    <w:rsid w:val="000E4EFD"/>
    <w:rsid w:val="000E5A24"/>
    <w:rsid w:val="000F24AD"/>
    <w:rsid w:val="000F29D4"/>
    <w:rsid w:val="000F2F3A"/>
    <w:rsid w:val="000F31F5"/>
    <w:rsid w:val="000F505E"/>
    <w:rsid w:val="000F5315"/>
    <w:rsid w:val="000F5969"/>
    <w:rsid w:val="000F76E7"/>
    <w:rsid w:val="000F792C"/>
    <w:rsid w:val="00103342"/>
    <w:rsid w:val="001067FB"/>
    <w:rsid w:val="00110576"/>
    <w:rsid w:val="001143FF"/>
    <w:rsid w:val="00121F95"/>
    <w:rsid w:val="00124B7A"/>
    <w:rsid w:val="00126C97"/>
    <w:rsid w:val="00130892"/>
    <w:rsid w:val="001323D2"/>
    <w:rsid w:val="00134920"/>
    <w:rsid w:val="00135C0A"/>
    <w:rsid w:val="00145D43"/>
    <w:rsid w:val="00150D83"/>
    <w:rsid w:val="0016050E"/>
    <w:rsid w:val="00160F77"/>
    <w:rsid w:val="00170B1E"/>
    <w:rsid w:val="0017248C"/>
    <w:rsid w:val="00172F47"/>
    <w:rsid w:val="00173F65"/>
    <w:rsid w:val="0017467C"/>
    <w:rsid w:val="00174CE4"/>
    <w:rsid w:val="00180CD8"/>
    <w:rsid w:val="00181331"/>
    <w:rsid w:val="00193405"/>
    <w:rsid w:val="0019390A"/>
    <w:rsid w:val="00193CC8"/>
    <w:rsid w:val="0019620E"/>
    <w:rsid w:val="001A2385"/>
    <w:rsid w:val="001A28CA"/>
    <w:rsid w:val="001A369B"/>
    <w:rsid w:val="001A3D7A"/>
    <w:rsid w:val="001B2DCF"/>
    <w:rsid w:val="001B3035"/>
    <w:rsid w:val="001B717A"/>
    <w:rsid w:val="001C058C"/>
    <w:rsid w:val="001C09D3"/>
    <w:rsid w:val="001C4E18"/>
    <w:rsid w:val="001C7BAC"/>
    <w:rsid w:val="001D62DA"/>
    <w:rsid w:val="001D6B9D"/>
    <w:rsid w:val="001E5379"/>
    <w:rsid w:val="001F0CE5"/>
    <w:rsid w:val="001F0E86"/>
    <w:rsid w:val="001F204C"/>
    <w:rsid w:val="001F3CB9"/>
    <w:rsid w:val="00202929"/>
    <w:rsid w:val="00203913"/>
    <w:rsid w:val="0020652E"/>
    <w:rsid w:val="002069CE"/>
    <w:rsid w:val="0020718A"/>
    <w:rsid w:val="0020742F"/>
    <w:rsid w:val="0021193F"/>
    <w:rsid w:val="00221157"/>
    <w:rsid w:val="002221FD"/>
    <w:rsid w:val="002228D3"/>
    <w:rsid w:val="00222AE1"/>
    <w:rsid w:val="00225620"/>
    <w:rsid w:val="00232ABB"/>
    <w:rsid w:val="002334E6"/>
    <w:rsid w:val="00235956"/>
    <w:rsid w:val="00242DE4"/>
    <w:rsid w:val="002450D0"/>
    <w:rsid w:val="00260EEA"/>
    <w:rsid w:val="00273E74"/>
    <w:rsid w:val="002751C5"/>
    <w:rsid w:val="00280189"/>
    <w:rsid w:val="00281547"/>
    <w:rsid w:val="00283BEE"/>
    <w:rsid w:val="00284540"/>
    <w:rsid w:val="002918B8"/>
    <w:rsid w:val="0029522B"/>
    <w:rsid w:val="002A020E"/>
    <w:rsid w:val="002A5213"/>
    <w:rsid w:val="002A627E"/>
    <w:rsid w:val="002A7F50"/>
    <w:rsid w:val="002B0009"/>
    <w:rsid w:val="002C0780"/>
    <w:rsid w:val="002C0FE7"/>
    <w:rsid w:val="002C16C7"/>
    <w:rsid w:val="002C4615"/>
    <w:rsid w:val="002D3A7F"/>
    <w:rsid w:val="002D5934"/>
    <w:rsid w:val="002E092B"/>
    <w:rsid w:val="002E1B6D"/>
    <w:rsid w:val="002E4DFE"/>
    <w:rsid w:val="002F180D"/>
    <w:rsid w:val="002F359D"/>
    <w:rsid w:val="002F6457"/>
    <w:rsid w:val="002F6A5B"/>
    <w:rsid w:val="00302E58"/>
    <w:rsid w:val="00304BA4"/>
    <w:rsid w:val="00306F0C"/>
    <w:rsid w:val="003078B2"/>
    <w:rsid w:val="003121D3"/>
    <w:rsid w:val="00312A5E"/>
    <w:rsid w:val="00314F47"/>
    <w:rsid w:val="0032121D"/>
    <w:rsid w:val="00325117"/>
    <w:rsid w:val="00332525"/>
    <w:rsid w:val="00333D7A"/>
    <w:rsid w:val="00334527"/>
    <w:rsid w:val="003458DB"/>
    <w:rsid w:val="00346B97"/>
    <w:rsid w:val="00351B70"/>
    <w:rsid w:val="00352F2F"/>
    <w:rsid w:val="00352F35"/>
    <w:rsid w:val="00353CDE"/>
    <w:rsid w:val="00355731"/>
    <w:rsid w:val="0035654C"/>
    <w:rsid w:val="00367AE8"/>
    <w:rsid w:val="003717DC"/>
    <w:rsid w:val="00377CE4"/>
    <w:rsid w:val="003848D6"/>
    <w:rsid w:val="00385047"/>
    <w:rsid w:val="003906AC"/>
    <w:rsid w:val="00391125"/>
    <w:rsid w:val="003A1CDA"/>
    <w:rsid w:val="003A29AB"/>
    <w:rsid w:val="003A4CFA"/>
    <w:rsid w:val="003A7696"/>
    <w:rsid w:val="003B04B0"/>
    <w:rsid w:val="003B06E3"/>
    <w:rsid w:val="003B0F14"/>
    <w:rsid w:val="003B3994"/>
    <w:rsid w:val="003B401F"/>
    <w:rsid w:val="003B56DD"/>
    <w:rsid w:val="003B6D2E"/>
    <w:rsid w:val="003B6F2A"/>
    <w:rsid w:val="003C09E1"/>
    <w:rsid w:val="003C5552"/>
    <w:rsid w:val="003C6B95"/>
    <w:rsid w:val="003D01E1"/>
    <w:rsid w:val="003E1ED3"/>
    <w:rsid w:val="003F02AB"/>
    <w:rsid w:val="003F201C"/>
    <w:rsid w:val="003F3CBD"/>
    <w:rsid w:val="003F6F02"/>
    <w:rsid w:val="00401F6A"/>
    <w:rsid w:val="004052F8"/>
    <w:rsid w:val="00410826"/>
    <w:rsid w:val="00413109"/>
    <w:rsid w:val="00415A00"/>
    <w:rsid w:val="00417415"/>
    <w:rsid w:val="004176B5"/>
    <w:rsid w:val="004176B9"/>
    <w:rsid w:val="004210AB"/>
    <w:rsid w:val="00430ABE"/>
    <w:rsid w:val="00432728"/>
    <w:rsid w:val="0043297E"/>
    <w:rsid w:val="00436C99"/>
    <w:rsid w:val="00440AE1"/>
    <w:rsid w:val="00450DB2"/>
    <w:rsid w:val="00456337"/>
    <w:rsid w:val="004654B2"/>
    <w:rsid w:val="00472841"/>
    <w:rsid w:val="004824A7"/>
    <w:rsid w:val="00482598"/>
    <w:rsid w:val="004827AA"/>
    <w:rsid w:val="00487BB2"/>
    <w:rsid w:val="0049231B"/>
    <w:rsid w:val="00492805"/>
    <w:rsid w:val="00496EF3"/>
    <w:rsid w:val="0049797E"/>
    <w:rsid w:val="004A24A1"/>
    <w:rsid w:val="004A4353"/>
    <w:rsid w:val="004A71CF"/>
    <w:rsid w:val="004B777C"/>
    <w:rsid w:val="004C0301"/>
    <w:rsid w:val="004C385A"/>
    <w:rsid w:val="004C690B"/>
    <w:rsid w:val="004C72BC"/>
    <w:rsid w:val="004C7F9F"/>
    <w:rsid w:val="004D046C"/>
    <w:rsid w:val="004D18FB"/>
    <w:rsid w:val="004D2089"/>
    <w:rsid w:val="004D249A"/>
    <w:rsid w:val="004D2864"/>
    <w:rsid w:val="004D7EED"/>
    <w:rsid w:val="004E09A6"/>
    <w:rsid w:val="004E7015"/>
    <w:rsid w:val="004E76DF"/>
    <w:rsid w:val="004E7B0E"/>
    <w:rsid w:val="004F3965"/>
    <w:rsid w:val="004F5B71"/>
    <w:rsid w:val="004F5BA1"/>
    <w:rsid w:val="004F729E"/>
    <w:rsid w:val="005003BC"/>
    <w:rsid w:val="0050727B"/>
    <w:rsid w:val="00513B25"/>
    <w:rsid w:val="00514D77"/>
    <w:rsid w:val="005160D9"/>
    <w:rsid w:val="00516E54"/>
    <w:rsid w:val="0052455C"/>
    <w:rsid w:val="005245E1"/>
    <w:rsid w:val="005277E0"/>
    <w:rsid w:val="00530569"/>
    <w:rsid w:val="00532753"/>
    <w:rsid w:val="00532759"/>
    <w:rsid w:val="0053561F"/>
    <w:rsid w:val="00536E50"/>
    <w:rsid w:val="00537CF6"/>
    <w:rsid w:val="005406EA"/>
    <w:rsid w:val="0054362E"/>
    <w:rsid w:val="00544563"/>
    <w:rsid w:val="0055118E"/>
    <w:rsid w:val="00552DD2"/>
    <w:rsid w:val="00554BAF"/>
    <w:rsid w:val="00556BB6"/>
    <w:rsid w:val="00563335"/>
    <w:rsid w:val="00563E61"/>
    <w:rsid w:val="00565926"/>
    <w:rsid w:val="0056724D"/>
    <w:rsid w:val="0056731C"/>
    <w:rsid w:val="00567B56"/>
    <w:rsid w:val="0057216D"/>
    <w:rsid w:val="00574804"/>
    <w:rsid w:val="00575238"/>
    <w:rsid w:val="00576D64"/>
    <w:rsid w:val="00577274"/>
    <w:rsid w:val="0059746E"/>
    <w:rsid w:val="005A1A5F"/>
    <w:rsid w:val="005A2375"/>
    <w:rsid w:val="005A38A6"/>
    <w:rsid w:val="005A6906"/>
    <w:rsid w:val="005B2393"/>
    <w:rsid w:val="005B4168"/>
    <w:rsid w:val="005B6441"/>
    <w:rsid w:val="005B78FC"/>
    <w:rsid w:val="005C4E11"/>
    <w:rsid w:val="005C5C66"/>
    <w:rsid w:val="005C61A1"/>
    <w:rsid w:val="005D6AD8"/>
    <w:rsid w:val="005E00B4"/>
    <w:rsid w:val="005E3054"/>
    <w:rsid w:val="005E33A9"/>
    <w:rsid w:val="005F4DB3"/>
    <w:rsid w:val="006011FD"/>
    <w:rsid w:val="00601723"/>
    <w:rsid w:val="00603198"/>
    <w:rsid w:val="0060354C"/>
    <w:rsid w:val="006108EC"/>
    <w:rsid w:val="00612623"/>
    <w:rsid w:val="00621258"/>
    <w:rsid w:val="00622FCA"/>
    <w:rsid w:val="00623A5B"/>
    <w:rsid w:val="0062494D"/>
    <w:rsid w:val="00625E85"/>
    <w:rsid w:val="006277A5"/>
    <w:rsid w:val="00634697"/>
    <w:rsid w:val="0063626A"/>
    <w:rsid w:val="00636D3D"/>
    <w:rsid w:val="00640EB9"/>
    <w:rsid w:val="006414AB"/>
    <w:rsid w:val="00644F31"/>
    <w:rsid w:val="0064765A"/>
    <w:rsid w:val="00650ACD"/>
    <w:rsid w:val="00651621"/>
    <w:rsid w:val="0065577B"/>
    <w:rsid w:val="00656D82"/>
    <w:rsid w:val="006625C4"/>
    <w:rsid w:val="0066283C"/>
    <w:rsid w:val="00663351"/>
    <w:rsid w:val="006714B8"/>
    <w:rsid w:val="00673598"/>
    <w:rsid w:val="00676700"/>
    <w:rsid w:val="006827EC"/>
    <w:rsid w:val="00682838"/>
    <w:rsid w:val="00682A48"/>
    <w:rsid w:val="00683218"/>
    <w:rsid w:val="00687A82"/>
    <w:rsid w:val="00687EB0"/>
    <w:rsid w:val="00691B73"/>
    <w:rsid w:val="006928BF"/>
    <w:rsid w:val="006937B2"/>
    <w:rsid w:val="00693842"/>
    <w:rsid w:val="00694577"/>
    <w:rsid w:val="00694AC5"/>
    <w:rsid w:val="00695102"/>
    <w:rsid w:val="00696671"/>
    <w:rsid w:val="00697C82"/>
    <w:rsid w:val="006A0652"/>
    <w:rsid w:val="006A1680"/>
    <w:rsid w:val="006A3590"/>
    <w:rsid w:val="006A4530"/>
    <w:rsid w:val="006C04A0"/>
    <w:rsid w:val="006C3F6A"/>
    <w:rsid w:val="006D00FA"/>
    <w:rsid w:val="006D135B"/>
    <w:rsid w:val="006D19F0"/>
    <w:rsid w:val="006D3915"/>
    <w:rsid w:val="006D64C9"/>
    <w:rsid w:val="006E11F2"/>
    <w:rsid w:val="006E151B"/>
    <w:rsid w:val="006E32A6"/>
    <w:rsid w:val="006E5858"/>
    <w:rsid w:val="006E6951"/>
    <w:rsid w:val="006E721D"/>
    <w:rsid w:val="006F0353"/>
    <w:rsid w:val="006F0F0B"/>
    <w:rsid w:val="006F42C2"/>
    <w:rsid w:val="006F59A2"/>
    <w:rsid w:val="0070560C"/>
    <w:rsid w:val="00705C5C"/>
    <w:rsid w:val="007068C8"/>
    <w:rsid w:val="00715720"/>
    <w:rsid w:val="00716F3C"/>
    <w:rsid w:val="00717BA5"/>
    <w:rsid w:val="00720D8F"/>
    <w:rsid w:val="007211DB"/>
    <w:rsid w:val="00721E7F"/>
    <w:rsid w:val="0072384D"/>
    <w:rsid w:val="0072452B"/>
    <w:rsid w:val="00730343"/>
    <w:rsid w:val="007306C5"/>
    <w:rsid w:val="007313B4"/>
    <w:rsid w:val="0073752E"/>
    <w:rsid w:val="007376B1"/>
    <w:rsid w:val="00740DBD"/>
    <w:rsid w:val="0074180F"/>
    <w:rsid w:val="0074538F"/>
    <w:rsid w:val="00746800"/>
    <w:rsid w:val="00752962"/>
    <w:rsid w:val="007545C9"/>
    <w:rsid w:val="00754D4A"/>
    <w:rsid w:val="007705A1"/>
    <w:rsid w:val="00770A82"/>
    <w:rsid w:val="00772929"/>
    <w:rsid w:val="00772B35"/>
    <w:rsid w:val="0077368D"/>
    <w:rsid w:val="00773A09"/>
    <w:rsid w:val="00785CF1"/>
    <w:rsid w:val="007943A5"/>
    <w:rsid w:val="00795991"/>
    <w:rsid w:val="007967E3"/>
    <w:rsid w:val="0079757B"/>
    <w:rsid w:val="007976FE"/>
    <w:rsid w:val="007A2089"/>
    <w:rsid w:val="007A5F9B"/>
    <w:rsid w:val="007B24BA"/>
    <w:rsid w:val="007B4BB4"/>
    <w:rsid w:val="007C1AFE"/>
    <w:rsid w:val="007C31AE"/>
    <w:rsid w:val="007D1C3B"/>
    <w:rsid w:val="007D4C03"/>
    <w:rsid w:val="007D76A0"/>
    <w:rsid w:val="007E5CE5"/>
    <w:rsid w:val="007E6809"/>
    <w:rsid w:val="007E69BE"/>
    <w:rsid w:val="007F1FC7"/>
    <w:rsid w:val="007F692A"/>
    <w:rsid w:val="007F6F3D"/>
    <w:rsid w:val="007F75CC"/>
    <w:rsid w:val="007F7BAF"/>
    <w:rsid w:val="008009C2"/>
    <w:rsid w:val="0081099B"/>
    <w:rsid w:val="00811EF0"/>
    <w:rsid w:val="00811F7D"/>
    <w:rsid w:val="00812D0B"/>
    <w:rsid w:val="00813941"/>
    <w:rsid w:val="00822399"/>
    <w:rsid w:val="008246BE"/>
    <w:rsid w:val="00826A1B"/>
    <w:rsid w:val="00826C83"/>
    <w:rsid w:val="008278CA"/>
    <w:rsid w:val="00831AB4"/>
    <w:rsid w:val="00831BBD"/>
    <w:rsid w:val="00834B87"/>
    <w:rsid w:val="00837037"/>
    <w:rsid w:val="00837EEB"/>
    <w:rsid w:val="00840007"/>
    <w:rsid w:val="00843DF9"/>
    <w:rsid w:val="00845839"/>
    <w:rsid w:val="00847700"/>
    <w:rsid w:val="00850136"/>
    <w:rsid w:val="00850329"/>
    <w:rsid w:val="008523FA"/>
    <w:rsid w:val="0086090D"/>
    <w:rsid w:val="00861EE1"/>
    <w:rsid w:val="00863A35"/>
    <w:rsid w:val="00863F30"/>
    <w:rsid w:val="0086495E"/>
    <w:rsid w:val="008656ED"/>
    <w:rsid w:val="008707F7"/>
    <w:rsid w:val="0087123E"/>
    <w:rsid w:val="00876F6E"/>
    <w:rsid w:val="008770D9"/>
    <w:rsid w:val="00891732"/>
    <w:rsid w:val="00895622"/>
    <w:rsid w:val="008A5001"/>
    <w:rsid w:val="008B2E6A"/>
    <w:rsid w:val="008C2BC9"/>
    <w:rsid w:val="008C65BE"/>
    <w:rsid w:val="008D11A1"/>
    <w:rsid w:val="008D62B8"/>
    <w:rsid w:val="008E36B4"/>
    <w:rsid w:val="008E3921"/>
    <w:rsid w:val="008E4480"/>
    <w:rsid w:val="008E5BD7"/>
    <w:rsid w:val="008F1375"/>
    <w:rsid w:val="008F172D"/>
    <w:rsid w:val="008F3F18"/>
    <w:rsid w:val="008F40EE"/>
    <w:rsid w:val="008F6D3C"/>
    <w:rsid w:val="008F6EE6"/>
    <w:rsid w:val="00902112"/>
    <w:rsid w:val="009030B3"/>
    <w:rsid w:val="0090680C"/>
    <w:rsid w:val="00907C41"/>
    <w:rsid w:val="00910592"/>
    <w:rsid w:val="00910792"/>
    <w:rsid w:val="0091088D"/>
    <w:rsid w:val="00910ED0"/>
    <w:rsid w:val="00910FD9"/>
    <w:rsid w:val="00914346"/>
    <w:rsid w:val="00916E71"/>
    <w:rsid w:val="009228DD"/>
    <w:rsid w:val="00922F53"/>
    <w:rsid w:val="00932EC8"/>
    <w:rsid w:val="009345CE"/>
    <w:rsid w:val="00934CCF"/>
    <w:rsid w:val="00942072"/>
    <w:rsid w:val="009448FF"/>
    <w:rsid w:val="00946544"/>
    <w:rsid w:val="009472E8"/>
    <w:rsid w:val="00950A52"/>
    <w:rsid w:val="009512BC"/>
    <w:rsid w:val="00952B90"/>
    <w:rsid w:val="00955C7B"/>
    <w:rsid w:val="00966583"/>
    <w:rsid w:val="0097010E"/>
    <w:rsid w:val="00974895"/>
    <w:rsid w:val="00977135"/>
    <w:rsid w:val="00983106"/>
    <w:rsid w:val="0099266D"/>
    <w:rsid w:val="00992DCF"/>
    <w:rsid w:val="009977E2"/>
    <w:rsid w:val="009A02BD"/>
    <w:rsid w:val="009A0E2E"/>
    <w:rsid w:val="009A133E"/>
    <w:rsid w:val="009A5035"/>
    <w:rsid w:val="009A7CE1"/>
    <w:rsid w:val="009B2034"/>
    <w:rsid w:val="009B7E0D"/>
    <w:rsid w:val="009D0AC2"/>
    <w:rsid w:val="009D6EDB"/>
    <w:rsid w:val="009E2725"/>
    <w:rsid w:val="009E2A23"/>
    <w:rsid w:val="009E6ACE"/>
    <w:rsid w:val="009E7FBC"/>
    <w:rsid w:val="009F3515"/>
    <w:rsid w:val="009F4795"/>
    <w:rsid w:val="009F65FE"/>
    <w:rsid w:val="009F71B8"/>
    <w:rsid w:val="00A026B3"/>
    <w:rsid w:val="00A04045"/>
    <w:rsid w:val="00A069FB"/>
    <w:rsid w:val="00A11BF5"/>
    <w:rsid w:val="00A14443"/>
    <w:rsid w:val="00A15A5A"/>
    <w:rsid w:val="00A17DCE"/>
    <w:rsid w:val="00A20BCC"/>
    <w:rsid w:val="00A228A4"/>
    <w:rsid w:val="00A233A0"/>
    <w:rsid w:val="00A241F5"/>
    <w:rsid w:val="00A30368"/>
    <w:rsid w:val="00A30F36"/>
    <w:rsid w:val="00A316AC"/>
    <w:rsid w:val="00A33535"/>
    <w:rsid w:val="00A43408"/>
    <w:rsid w:val="00A43D6F"/>
    <w:rsid w:val="00A452FD"/>
    <w:rsid w:val="00A501FA"/>
    <w:rsid w:val="00A50A93"/>
    <w:rsid w:val="00A51862"/>
    <w:rsid w:val="00A53E61"/>
    <w:rsid w:val="00A6056D"/>
    <w:rsid w:val="00A61C08"/>
    <w:rsid w:val="00A63905"/>
    <w:rsid w:val="00A65B18"/>
    <w:rsid w:val="00A80BA0"/>
    <w:rsid w:val="00A81571"/>
    <w:rsid w:val="00A845FB"/>
    <w:rsid w:val="00A86FEA"/>
    <w:rsid w:val="00A94860"/>
    <w:rsid w:val="00A9580B"/>
    <w:rsid w:val="00AA2228"/>
    <w:rsid w:val="00AA3356"/>
    <w:rsid w:val="00AA4FB1"/>
    <w:rsid w:val="00AB4720"/>
    <w:rsid w:val="00AC0385"/>
    <w:rsid w:val="00AD200B"/>
    <w:rsid w:val="00AD2866"/>
    <w:rsid w:val="00AD2CBD"/>
    <w:rsid w:val="00AD31DB"/>
    <w:rsid w:val="00AD3248"/>
    <w:rsid w:val="00AD5790"/>
    <w:rsid w:val="00AE0364"/>
    <w:rsid w:val="00AE0929"/>
    <w:rsid w:val="00AE400C"/>
    <w:rsid w:val="00AE6CBF"/>
    <w:rsid w:val="00AE7B31"/>
    <w:rsid w:val="00AF06AC"/>
    <w:rsid w:val="00AF47FA"/>
    <w:rsid w:val="00AF67F6"/>
    <w:rsid w:val="00B03492"/>
    <w:rsid w:val="00B058B6"/>
    <w:rsid w:val="00B0619A"/>
    <w:rsid w:val="00B1566F"/>
    <w:rsid w:val="00B20A2E"/>
    <w:rsid w:val="00B21DC6"/>
    <w:rsid w:val="00B26227"/>
    <w:rsid w:val="00B27E76"/>
    <w:rsid w:val="00B30B28"/>
    <w:rsid w:val="00B32B47"/>
    <w:rsid w:val="00B32BEE"/>
    <w:rsid w:val="00B40D77"/>
    <w:rsid w:val="00B41A31"/>
    <w:rsid w:val="00B44B8E"/>
    <w:rsid w:val="00B52F96"/>
    <w:rsid w:val="00B53685"/>
    <w:rsid w:val="00B53BD1"/>
    <w:rsid w:val="00B544F0"/>
    <w:rsid w:val="00B55C76"/>
    <w:rsid w:val="00B560C3"/>
    <w:rsid w:val="00B56D2A"/>
    <w:rsid w:val="00B57C70"/>
    <w:rsid w:val="00B61079"/>
    <w:rsid w:val="00B61D3F"/>
    <w:rsid w:val="00B63AFA"/>
    <w:rsid w:val="00B6567A"/>
    <w:rsid w:val="00B661D8"/>
    <w:rsid w:val="00B66EA7"/>
    <w:rsid w:val="00B7230F"/>
    <w:rsid w:val="00B77320"/>
    <w:rsid w:val="00B91530"/>
    <w:rsid w:val="00BA194D"/>
    <w:rsid w:val="00BA28FB"/>
    <w:rsid w:val="00BA2CCA"/>
    <w:rsid w:val="00BA466A"/>
    <w:rsid w:val="00BA653C"/>
    <w:rsid w:val="00BB0F12"/>
    <w:rsid w:val="00BB40F3"/>
    <w:rsid w:val="00BC5C96"/>
    <w:rsid w:val="00BD1230"/>
    <w:rsid w:val="00BE67F2"/>
    <w:rsid w:val="00BE7287"/>
    <w:rsid w:val="00BF0FA7"/>
    <w:rsid w:val="00BF6052"/>
    <w:rsid w:val="00C030F4"/>
    <w:rsid w:val="00C04BA1"/>
    <w:rsid w:val="00C07A0F"/>
    <w:rsid w:val="00C206D4"/>
    <w:rsid w:val="00C20A72"/>
    <w:rsid w:val="00C20A90"/>
    <w:rsid w:val="00C249DB"/>
    <w:rsid w:val="00C37E67"/>
    <w:rsid w:val="00C424A4"/>
    <w:rsid w:val="00C46C42"/>
    <w:rsid w:val="00C47C06"/>
    <w:rsid w:val="00C5643A"/>
    <w:rsid w:val="00C64D00"/>
    <w:rsid w:val="00C6688D"/>
    <w:rsid w:val="00C71E10"/>
    <w:rsid w:val="00C72048"/>
    <w:rsid w:val="00C820A0"/>
    <w:rsid w:val="00C84309"/>
    <w:rsid w:val="00C84B1D"/>
    <w:rsid w:val="00C924B2"/>
    <w:rsid w:val="00C96CBE"/>
    <w:rsid w:val="00C97292"/>
    <w:rsid w:val="00CA45D7"/>
    <w:rsid w:val="00CA6402"/>
    <w:rsid w:val="00CB0BBD"/>
    <w:rsid w:val="00CB1B5B"/>
    <w:rsid w:val="00CB3241"/>
    <w:rsid w:val="00CB45C0"/>
    <w:rsid w:val="00CC1E62"/>
    <w:rsid w:val="00CC2D19"/>
    <w:rsid w:val="00CC4238"/>
    <w:rsid w:val="00CD0BFC"/>
    <w:rsid w:val="00CD2869"/>
    <w:rsid w:val="00CD561F"/>
    <w:rsid w:val="00CE1EC4"/>
    <w:rsid w:val="00CE47D6"/>
    <w:rsid w:val="00CF5FBF"/>
    <w:rsid w:val="00CF654B"/>
    <w:rsid w:val="00D00747"/>
    <w:rsid w:val="00D01FF2"/>
    <w:rsid w:val="00D0424D"/>
    <w:rsid w:val="00D05829"/>
    <w:rsid w:val="00D0681F"/>
    <w:rsid w:val="00D130C6"/>
    <w:rsid w:val="00D1317B"/>
    <w:rsid w:val="00D136AD"/>
    <w:rsid w:val="00D159D1"/>
    <w:rsid w:val="00D2407D"/>
    <w:rsid w:val="00D27FEA"/>
    <w:rsid w:val="00D36A66"/>
    <w:rsid w:val="00D36D00"/>
    <w:rsid w:val="00D37AC0"/>
    <w:rsid w:val="00D43F59"/>
    <w:rsid w:val="00D45265"/>
    <w:rsid w:val="00D453CF"/>
    <w:rsid w:val="00D45573"/>
    <w:rsid w:val="00D478E2"/>
    <w:rsid w:val="00D50F23"/>
    <w:rsid w:val="00D52EF3"/>
    <w:rsid w:val="00D569AA"/>
    <w:rsid w:val="00D602DA"/>
    <w:rsid w:val="00D61DFB"/>
    <w:rsid w:val="00D666C6"/>
    <w:rsid w:val="00D66EB7"/>
    <w:rsid w:val="00D806A1"/>
    <w:rsid w:val="00D83818"/>
    <w:rsid w:val="00D85158"/>
    <w:rsid w:val="00D85F5A"/>
    <w:rsid w:val="00D87C45"/>
    <w:rsid w:val="00D92CF3"/>
    <w:rsid w:val="00D93D5D"/>
    <w:rsid w:val="00D93FFF"/>
    <w:rsid w:val="00D94BC3"/>
    <w:rsid w:val="00D958D2"/>
    <w:rsid w:val="00D976A9"/>
    <w:rsid w:val="00DB0183"/>
    <w:rsid w:val="00DB109F"/>
    <w:rsid w:val="00DC0472"/>
    <w:rsid w:val="00DC12DE"/>
    <w:rsid w:val="00DC4EE8"/>
    <w:rsid w:val="00DC5C11"/>
    <w:rsid w:val="00DD080A"/>
    <w:rsid w:val="00DD11A3"/>
    <w:rsid w:val="00DD16EE"/>
    <w:rsid w:val="00DD2F40"/>
    <w:rsid w:val="00DD5074"/>
    <w:rsid w:val="00DD5A18"/>
    <w:rsid w:val="00DE0A3A"/>
    <w:rsid w:val="00DE44B2"/>
    <w:rsid w:val="00DE4E4E"/>
    <w:rsid w:val="00DE619D"/>
    <w:rsid w:val="00DF0BA1"/>
    <w:rsid w:val="00DF2114"/>
    <w:rsid w:val="00DF65A4"/>
    <w:rsid w:val="00E005C9"/>
    <w:rsid w:val="00E0478C"/>
    <w:rsid w:val="00E073FE"/>
    <w:rsid w:val="00E1551F"/>
    <w:rsid w:val="00E15BF5"/>
    <w:rsid w:val="00E17BE2"/>
    <w:rsid w:val="00E22DEE"/>
    <w:rsid w:val="00E2394E"/>
    <w:rsid w:val="00E23A0F"/>
    <w:rsid w:val="00E24468"/>
    <w:rsid w:val="00E3005F"/>
    <w:rsid w:val="00E309D5"/>
    <w:rsid w:val="00E318A6"/>
    <w:rsid w:val="00E35964"/>
    <w:rsid w:val="00E379A6"/>
    <w:rsid w:val="00E40195"/>
    <w:rsid w:val="00E4059E"/>
    <w:rsid w:val="00E40CFC"/>
    <w:rsid w:val="00E45A61"/>
    <w:rsid w:val="00E466C5"/>
    <w:rsid w:val="00E5067A"/>
    <w:rsid w:val="00E50BF0"/>
    <w:rsid w:val="00E51DAC"/>
    <w:rsid w:val="00E53B73"/>
    <w:rsid w:val="00E636ED"/>
    <w:rsid w:val="00E656E6"/>
    <w:rsid w:val="00E6738D"/>
    <w:rsid w:val="00E71CEF"/>
    <w:rsid w:val="00E74B15"/>
    <w:rsid w:val="00E75199"/>
    <w:rsid w:val="00E760AE"/>
    <w:rsid w:val="00E80A3F"/>
    <w:rsid w:val="00E81505"/>
    <w:rsid w:val="00E923F7"/>
    <w:rsid w:val="00E96E84"/>
    <w:rsid w:val="00E97A8A"/>
    <w:rsid w:val="00EA02D1"/>
    <w:rsid w:val="00EA07E4"/>
    <w:rsid w:val="00EA291D"/>
    <w:rsid w:val="00EA2BBA"/>
    <w:rsid w:val="00EA77C4"/>
    <w:rsid w:val="00EB1997"/>
    <w:rsid w:val="00EB552F"/>
    <w:rsid w:val="00EC40AB"/>
    <w:rsid w:val="00EC41CB"/>
    <w:rsid w:val="00EC6185"/>
    <w:rsid w:val="00ED3AC8"/>
    <w:rsid w:val="00ED756D"/>
    <w:rsid w:val="00EE23CC"/>
    <w:rsid w:val="00EE7B7C"/>
    <w:rsid w:val="00EF7E52"/>
    <w:rsid w:val="00F009FA"/>
    <w:rsid w:val="00F02082"/>
    <w:rsid w:val="00F16917"/>
    <w:rsid w:val="00F22B79"/>
    <w:rsid w:val="00F265C3"/>
    <w:rsid w:val="00F27F97"/>
    <w:rsid w:val="00F302C7"/>
    <w:rsid w:val="00F3318C"/>
    <w:rsid w:val="00F33BBC"/>
    <w:rsid w:val="00F34B7E"/>
    <w:rsid w:val="00F37357"/>
    <w:rsid w:val="00F40993"/>
    <w:rsid w:val="00F43B54"/>
    <w:rsid w:val="00F470A6"/>
    <w:rsid w:val="00F47D07"/>
    <w:rsid w:val="00F47D8E"/>
    <w:rsid w:val="00F47F31"/>
    <w:rsid w:val="00F505AB"/>
    <w:rsid w:val="00F53B66"/>
    <w:rsid w:val="00F544EB"/>
    <w:rsid w:val="00F64DF0"/>
    <w:rsid w:val="00F702D7"/>
    <w:rsid w:val="00F7151A"/>
    <w:rsid w:val="00F75CE4"/>
    <w:rsid w:val="00F771A7"/>
    <w:rsid w:val="00F92173"/>
    <w:rsid w:val="00F94CB5"/>
    <w:rsid w:val="00F97E6B"/>
    <w:rsid w:val="00FA10BA"/>
    <w:rsid w:val="00FA4274"/>
    <w:rsid w:val="00FA5E19"/>
    <w:rsid w:val="00FB26ED"/>
    <w:rsid w:val="00FB7F43"/>
    <w:rsid w:val="00FD1488"/>
    <w:rsid w:val="00FD7F32"/>
    <w:rsid w:val="00FE2FF1"/>
    <w:rsid w:val="00FE7AB8"/>
    <w:rsid w:val="00FF5A39"/>
    <w:rsid w:val="012C68FF"/>
    <w:rsid w:val="01B15808"/>
    <w:rsid w:val="020E364B"/>
    <w:rsid w:val="0259427B"/>
    <w:rsid w:val="044C50BA"/>
    <w:rsid w:val="04A719E7"/>
    <w:rsid w:val="04B8274F"/>
    <w:rsid w:val="05446DE3"/>
    <w:rsid w:val="065443BE"/>
    <w:rsid w:val="06E44A6F"/>
    <w:rsid w:val="08467172"/>
    <w:rsid w:val="09C02787"/>
    <w:rsid w:val="0B131714"/>
    <w:rsid w:val="0C9223E1"/>
    <w:rsid w:val="0CC302A1"/>
    <w:rsid w:val="0CC84029"/>
    <w:rsid w:val="0D2546FA"/>
    <w:rsid w:val="0D30296C"/>
    <w:rsid w:val="0DFF2CDD"/>
    <w:rsid w:val="0E47210D"/>
    <w:rsid w:val="0E5A34FC"/>
    <w:rsid w:val="0E8C4A31"/>
    <w:rsid w:val="0EE628AF"/>
    <w:rsid w:val="0F6A0CEA"/>
    <w:rsid w:val="0FCE72CB"/>
    <w:rsid w:val="113106E6"/>
    <w:rsid w:val="11662604"/>
    <w:rsid w:val="126D426E"/>
    <w:rsid w:val="13B6549A"/>
    <w:rsid w:val="14632174"/>
    <w:rsid w:val="14E13BB0"/>
    <w:rsid w:val="14F50E56"/>
    <w:rsid w:val="151237B6"/>
    <w:rsid w:val="161F15F0"/>
    <w:rsid w:val="163D35D9"/>
    <w:rsid w:val="166B05EF"/>
    <w:rsid w:val="16834AF8"/>
    <w:rsid w:val="172D0F78"/>
    <w:rsid w:val="17763648"/>
    <w:rsid w:val="179E3ECD"/>
    <w:rsid w:val="184E0FA9"/>
    <w:rsid w:val="187F1E73"/>
    <w:rsid w:val="19102702"/>
    <w:rsid w:val="1A057E6D"/>
    <w:rsid w:val="1A0C54EE"/>
    <w:rsid w:val="1A2226ED"/>
    <w:rsid w:val="1B422F4F"/>
    <w:rsid w:val="1C5D69BB"/>
    <w:rsid w:val="1C771D17"/>
    <w:rsid w:val="1D0E51AB"/>
    <w:rsid w:val="1D3758A7"/>
    <w:rsid w:val="1DF04200"/>
    <w:rsid w:val="1F395D31"/>
    <w:rsid w:val="20463633"/>
    <w:rsid w:val="20790822"/>
    <w:rsid w:val="209E49A5"/>
    <w:rsid w:val="21187717"/>
    <w:rsid w:val="219E5151"/>
    <w:rsid w:val="2221561E"/>
    <w:rsid w:val="226D193F"/>
    <w:rsid w:val="22A36E81"/>
    <w:rsid w:val="235B3D8D"/>
    <w:rsid w:val="235C6C70"/>
    <w:rsid w:val="238742D9"/>
    <w:rsid w:val="23F21382"/>
    <w:rsid w:val="25580A7D"/>
    <w:rsid w:val="25E0442F"/>
    <w:rsid w:val="27CB43C4"/>
    <w:rsid w:val="282E7214"/>
    <w:rsid w:val="283A6E54"/>
    <w:rsid w:val="28491939"/>
    <w:rsid w:val="284B1054"/>
    <w:rsid w:val="2A964DEF"/>
    <w:rsid w:val="2AAA075B"/>
    <w:rsid w:val="2C672BB7"/>
    <w:rsid w:val="2CB05D7D"/>
    <w:rsid w:val="2D711262"/>
    <w:rsid w:val="2DEE6CE5"/>
    <w:rsid w:val="2E117DC7"/>
    <w:rsid w:val="2EAA5917"/>
    <w:rsid w:val="2F983468"/>
    <w:rsid w:val="304369D0"/>
    <w:rsid w:val="304614C0"/>
    <w:rsid w:val="31291E9E"/>
    <w:rsid w:val="315F792B"/>
    <w:rsid w:val="31875CCB"/>
    <w:rsid w:val="332A5CC2"/>
    <w:rsid w:val="33B163B8"/>
    <w:rsid w:val="344D03A0"/>
    <w:rsid w:val="347A44D8"/>
    <w:rsid w:val="34CA50A9"/>
    <w:rsid w:val="34F07218"/>
    <w:rsid w:val="35517C5D"/>
    <w:rsid w:val="35B94DD2"/>
    <w:rsid w:val="36A35002"/>
    <w:rsid w:val="382F36F2"/>
    <w:rsid w:val="3905132D"/>
    <w:rsid w:val="39273424"/>
    <w:rsid w:val="393475AC"/>
    <w:rsid w:val="395064D7"/>
    <w:rsid w:val="39B63E9B"/>
    <w:rsid w:val="39E3428E"/>
    <w:rsid w:val="3A257160"/>
    <w:rsid w:val="3A7C14A8"/>
    <w:rsid w:val="3B1723A4"/>
    <w:rsid w:val="3B1F2E3F"/>
    <w:rsid w:val="3B9F3863"/>
    <w:rsid w:val="3BE765D5"/>
    <w:rsid w:val="3E0D51BE"/>
    <w:rsid w:val="3FA8337C"/>
    <w:rsid w:val="3FAF74F3"/>
    <w:rsid w:val="401568FC"/>
    <w:rsid w:val="40782701"/>
    <w:rsid w:val="40A070CE"/>
    <w:rsid w:val="40A15215"/>
    <w:rsid w:val="42E163F2"/>
    <w:rsid w:val="42EA6D52"/>
    <w:rsid w:val="43147B68"/>
    <w:rsid w:val="432636BD"/>
    <w:rsid w:val="439C0C1F"/>
    <w:rsid w:val="444B2BC9"/>
    <w:rsid w:val="44AB315B"/>
    <w:rsid w:val="4648601B"/>
    <w:rsid w:val="46855984"/>
    <w:rsid w:val="46C027C2"/>
    <w:rsid w:val="47103C1E"/>
    <w:rsid w:val="47172742"/>
    <w:rsid w:val="47357EBE"/>
    <w:rsid w:val="479231D0"/>
    <w:rsid w:val="47C81FB6"/>
    <w:rsid w:val="48677E44"/>
    <w:rsid w:val="48834AE5"/>
    <w:rsid w:val="488A6451"/>
    <w:rsid w:val="48EA60D6"/>
    <w:rsid w:val="49361FAE"/>
    <w:rsid w:val="4A407E52"/>
    <w:rsid w:val="4A7339B6"/>
    <w:rsid w:val="4A8A55C1"/>
    <w:rsid w:val="4C2078A7"/>
    <w:rsid w:val="4CA774BB"/>
    <w:rsid w:val="4D477FEC"/>
    <w:rsid w:val="4D615D0A"/>
    <w:rsid w:val="4F465249"/>
    <w:rsid w:val="4FA85AF4"/>
    <w:rsid w:val="51C01710"/>
    <w:rsid w:val="53B453EE"/>
    <w:rsid w:val="53B57407"/>
    <w:rsid w:val="53D13BDA"/>
    <w:rsid w:val="53DE3218"/>
    <w:rsid w:val="546F5320"/>
    <w:rsid w:val="55085A60"/>
    <w:rsid w:val="560E7A85"/>
    <w:rsid w:val="566771F3"/>
    <w:rsid w:val="56BF745E"/>
    <w:rsid w:val="570F30D6"/>
    <w:rsid w:val="573603C8"/>
    <w:rsid w:val="575546F8"/>
    <w:rsid w:val="57B13A5E"/>
    <w:rsid w:val="58361769"/>
    <w:rsid w:val="58C423A6"/>
    <w:rsid w:val="59474109"/>
    <w:rsid w:val="59CB1917"/>
    <w:rsid w:val="59EC61A3"/>
    <w:rsid w:val="5D704AEA"/>
    <w:rsid w:val="5E0052BF"/>
    <w:rsid w:val="5ECA47D5"/>
    <w:rsid w:val="5FA90D3B"/>
    <w:rsid w:val="60571EE9"/>
    <w:rsid w:val="60BD0047"/>
    <w:rsid w:val="627F2B3D"/>
    <w:rsid w:val="63BA261B"/>
    <w:rsid w:val="64156027"/>
    <w:rsid w:val="646815B9"/>
    <w:rsid w:val="64E115FC"/>
    <w:rsid w:val="65083EB6"/>
    <w:rsid w:val="65300903"/>
    <w:rsid w:val="662326FA"/>
    <w:rsid w:val="669E4BED"/>
    <w:rsid w:val="67024A05"/>
    <w:rsid w:val="6711467B"/>
    <w:rsid w:val="671745E9"/>
    <w:rsid w:val="68030E51"/>
    <w:rsid w:val="688E222A"/>
    <w:rsid w:val="69AC086D"/>
    <w:rsid w:val="6B0E61C6"/>
    <w:rsid w:val="6B5D1031"/>
    <w:rsid w:val="6BE62EE5"/>
    <w:rsid w:val="6BE95323"/>
    <w:rsid w:val="6DE121F5"/>
    <w:rsid w:val="6E6B7334"/>
    <w:rsid w:val="6FDD77F1"/>
    <w:rsid w:val="709664B4"/>
    <w:rsid w:val="70B35EB8"/>
    <w:rsid w:val="711E2C94"/>
    <w:rsid w:val="71323417"/>
    <w:rsid w:val="713752AB"/>
    <w:rsid w:val="737A60AA"/>
    <w:rsid w:val="741C4B28"/>
    <w:rsid w:val="772C2BCD"/>
    <w:rsid w:val="774D4A28"/>
    <w:rsid w:val="776C65D5"/>
    <w:rsid w:val="794C4BC2"/>
    <w:rsid w:val="7986195D"/>
    <w:rsid w:val="79A149AA"/>
    <w:rsid w:val="79B42139"/>
    <w:rsid w:val="79C24579"/>
    <w:rsid w:val="7A591944"/>
    <w:rsid w:val="7AE65058"/>
    <w:rsid w:val="7B0E16D6"/>
    <w:rsid w:val="7B9573BC"/>
    <w:rsid w:val="7C63204F"/>
    <w:rsid w:val="7C64376E"/>
    <w:rsid w:val="7C7B6A00"/>
    <w:rsid w:val="7CFA1FF6"/>
    <w:rsid w:val="7D5115AC"/>
    <w:rsid w:val="7EFD559C"/>
    <w:rsid w:val="7F305492"/>
    <w:rsid w:val="7F365B29"/>
    <w:rsid w:val="7F3F24A0"/>
    <w:rsid w:val="7F5847F6"/>
    <w:rsid w:val="7FB37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lang w:val="en-US" w:eastAsia="zh-CN" w:bidi="ar-SA"/>
    </w:rPr>
  </w:style>
  <w:style w:type="paragraph" w:styleId="4">
    <w:name w:val="heading 1"/>
    <w:basedOn w:val="1"/>
    <w:next w:val="1"/>
    <w:link w:val="60"/>
    <w:qFormat/>
    <w:uiPriority w:val="0"/>
    <w:pPr>
      <w:keepNext/>
      <w:keepLines/>
      <w:adjustRightInd w:val="0"/>
      <w:spacing w:before="240" w:after="240"/>
      <w:textAlignment w:val="baseline"/>
      <w:outlineLvl w:val="0"/>
    </w:pPr>
    <w:rPr>
      <w:rFonts w:ascii="宋体" w:hAnsi="宋体"/>
      <w:b/>
      <w:kern w:val="44"/>
    </w:rPr>
  </w:style>
  <w:style w:type="paragraph" w:styleId="5">
    <w:name w:val="heading 2"/>
    <w:basedOn w:val="1"/>
    <w:next w:val="1"/>
    <w:link w:val="43"/>
    <w:qFormat/>
    <w:uiPriority w:val="0"/>
    <w:pPr>
      <w:keepNext/>
      <w:keepLines/>
      <w:adjustRightInd w:val="0"/>
      <w:spacing w:before="120" w:after="120"/>
      <w:textAlignment w:val="baseline"/>
      <w:outlineLvl w:val="1"/>
    </w:pPr>
    <w:rPr>
      <w:rFonts w:ascii="宋体" w:hAnsi="宋体"/>
      <w:b/>
      <w:kern w:val="44"/>
    </w:rPr>
  </w:style>
  <w:style w:type="paragraph" w:styleId="6">
    <w:name w:val="heading 3"/>
    <w:basedOn w:val="1"/>
    <w:next w:val="1"/>
    <w:qFormat/>
    <w:uiPriority w:val="0"/>
    <w:pPr>
      <w:keepNext/>
      <w:keepLines/>
      <w:adjustRightInd w:val="0"/>
      <w:spacing w:before="120" w:after="120"/>
      <w:textAlignment w:val="baseline"/>
      <w:outlineLvl w:val="2"/>
    </w:pPr>
    <w:rPr>
      <w:rFonts w:ascii="宋体"/>
      <w:b/>
      <w:kern w:val="0"/>
    </w:rPr>
  </w:style>
  <w:style w:type="paragraph" w:styleId="7">
    <w:name w:val="heading 4"/>
    <w:basedOn w:val="1"/>
    <w:next w:val="8"/>
    <w:qFormat/>
    <w:uiPriority w:val="0"/>
    <w:pPr>
      <w:keepNext/>
      <w:adjustRightInd w:val="0"/>
      <w:ind w:left="454"/>
      <w:jc w:val="left"/>
      <w:textAlignment w:val="baseline"/>
      <w:outlineLvl w:val="3"/>
    </w:pPr>
    <w:rPr>
      <w:rFonts w:ascii="宋体"/>
      <w:i/>
      <w:kern w:val="0"/>
    </w:rPr>
  </w:style>
  <w:style w:type="paragraph" w:styleId="9">
    <w:name w:val="heading 5"/>
    <w:basedOn w:val="1"/>
    <w:next w:val="1"/>
    <w:link w:val="44"/>
    <w:qFormat/>
    <w:uiPriority w:val="0"/>
    <w:pPr>
      <w:ind w:firstLine="480"/>
      <w:outlineLvl w:val="4"/>
    </w:pPr>
    <w:rPr>
      <w:rFonts w:ascii="宋体"/>
      <w:bCs/>
      <w:color w:val="000000"/>
      <w:szCs w:val="28"/>
    </w:rPr>
  </w:style>
  <w:style w:type="paragraph" w:styleId="10">
    <w:name w:val="heading 6"/>
    <w:basedOn w:val="1"/>
    <w:next w:val="1"/>
    <w:link w:val="45"/>
    <w:qFormat/>
    <w:uiPriority w:val="0"/>
    <w:pPr>
      <w:keepNext/>
      <w:keepLines/>
      <w:spacing w:before="240" w:after="64" w:line="317" w:lineRule="auto"/>
      <w:ind w:firstLine="480"/>
      <w:outlineLvl w:val="5"/>
    </w:pPr>
    <w:rPr>
      <w:rFonts w:ascii="Cambria" w:hAnsi="Cambria"/>
      <w:b/>
      <w:bCs/>
      <w:szCs w:val="24"/>
    </w:r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120" w:line="240" w:lineRule="auto"/>
      <w:ind w:left="420" w:leftChars="200" w:firstLine="420" w:firstLineChars="200"/>
    </w:pPr>
    <w:rPr>
      <w:rFonts w:ascii="Times New Roman"/>
    </w:rPr>
  </w:style>
  <w:style w:type="paragraph" w:styleId="3">
    <w:name w:val="Body Text Indent"/>
    <w:basedOn w:val="1"/>
    <w:qFormat/>
    <w:uiPriority w:val="0"/>
    <w:pPr>
      <w:ind w:firstLine="480"/>
    </w:pPr>
    <w:rPr>
      <w:rFonts w:ascii="宋体"/>
      <w:szCs w:val="24"/>
    </w:rPr>
  </w:style>
  <w:style w:type="paragraph" w:styleId="8">
    <w:name w:val="Normal Indent"/>
    <w:basedOn w:val="1"/>
    <w:qFormat/>
    <w:uiPriority w:val="0"/>
    <w:pPr>
      <w:adjustRightInd w:val="0"/>
      <w:spacing w:line="360" w:lineRule="atLeast"/>
      <w:ind w:firstLine="420"/>
      <w:jc w:val="left"/>
      <w:textAlignment w:val="baseline"/>
    </w:pPr>
    <w:rPr>
      <w:kern w:val="0"/>
    </w:rPr>
  </w:style>
  <w:style w:type="paragraph" w:styleId="11">
    <w:name w:val="toc 7"/>
    <w:basedOn w:val="1"/>
    <w:next w:val="1"/>
    <w:qFormat/>
    <w:uiPriority w:val="0"/>
    <w:pPr>
      <w:ind w:left="2520" w:leftChars="1200"/>
    </w:pPr>
  </w:style>
  <w:style w:type="paragraph" w:styleId="12">
    <w:name w:val="Document Map"/>
    <w:basedOn w:val="1"/>
    <w:qFormat/>
    <w:uiPriority w:val="0"/>
    <w:pPr>
      <w:shd w:val="clear" w:color="auto" w:fill="000080"/>
    </w:pPr>
  </w:style>
  <w:style w:type="paragraph" w:styleId="13">
    <w:name w:val="annotation text"/>
    <w:basedOn w:val="1"/>
    <w:link w:val="50"/>
    <w:qFormat/>
    <w:uiPriority w:val="0"/>
    <w:pPr>
      <w:jc w:val="left"/>
    </w:pPr>
  </w:style>
  <w:style w:type="paragraph" w:styleId="14">
    <w:name w:val="Body Text"/>
    <w:basedOn w:val="1"/>
    <w:qFormat/>
    <w:uiPriority w:val="0"/>
    <w:pPr>
      <w:spacing w:after="120"/>
    </w:pPr>
    <w:rPr>
      <w:sz w:val="21"/>
      <w:szCs w:val="24"/>
    </w:rPr>
  </w:style>
  <w:style w:type="paragraph" w:styleId="15">
    <w:name w:val="Block Text"/>
    <w:basedOn w:val="1"/>
    <w:qFormat/>
    <w:uiPriority w:val="0"/>
    <w:pPr>
      <w:widowControl/>
      <w:tabs>
        <w:tab w:val="left" w:pos="3119"/>
        <w:tab w:val="left" w:pos="5387"/>
        <w:tab w:val="left" w:pos="8080"/>
        <w:tab w:val="right" w:leader="dot" w:pos="8505"/>
      </w:tabs>
      <w:spacing w:before="20" w:after="20" w:line="240" w:lineRule="auto"/>
      <w:ind w:left="1260" w:right="425"/>
    </w:pPr>
    <w:rPr>
      <w:rFonts w:ascii="Arial" w:hAnsi="Arial"/>
      <w:kern w:val="0"/>
      <w:sz w:val="20"/>
      <w:lang w:val="en-GB"/>
    </w:rPr>
  </w:style>
  <w:style w:type="paragraph" w:styleId="16">
    <w:name w:val="toc 5"/>
    <w:basedOn w:val="1"/>
    <w:next w:val="1"/>
    <w:qFormat/>
    <w:uiPriority w:val="0"/>
    <w:pPr>
      <w:ind w:left="1680" w:leftChars="800"/>
    </w:pPr>
  </w:style>
  <w:style w:type="paragraph" w:styleId="17">
    <w:name w:val="toc 3"/>
    <w:basedOn w:val="1"/>
    <w:next w:val="1"/>
    <w:qFormat/>
    <w:uiPriority w:val="0"/>
    <w:pPr>
      <w:ind w:left="840" w:leftChars="400"/>
    </w:pPr>
  </w:style>
  <w:style w:type="paragraph" w:styleId="18">
    <w:name w:val="Plain Text"/>
    <w:basedOn w:val="1"/>
    <w:link w:val="52"/>
    <w:qFormat/>
    <w:uiPriority w:val="0"/>
    <w:rPr>
      <w:rFonts w:ascii="宋体" w:hAnsi="Courier New"/>
      <w:sz w:val="21"/>
    </w:rPr>
  </w:style>
  <w:style w:type="paragraph" w:styleId="19">
    <w:name w:val="toc 8"/>
    <w:basedOn w:val="1"/>
    <w:next w:val="1"/>
    <w:qFormat/>
    <w:uiPriority w:val="0"/>
    <w:pPr>
      <w:ind w:left="2940" w:leftChars="1400"/>
    </w:pPr>
  </w:style>
  <w:style w:type="paragraph" w:styleId="20">
    <w:name w:val="Date"/>
    <w:basedOn w:val="1"/>
    <w:next w:val="1"/>
    <w:qFormat/>
    <w:uiPriority w:val="0"/>
    <w:pPr>
      <w:adjustRightInd w:val="0"/>
      <w:spacing w:line="360" w:lineRule="atLeast"/>
      <w:textAlignment w:val="baseline"/>
    </w:pPr>
    <w:rPr>
      <w:rFonts w:ascii="宋体"/>
      <w:kern w:val="0"/>
    </w:rPr>
  </w:style>
  <w:style w:type="paragraph" w:styleId="21">
    <w:name w:val="Body Text Indent 2"/>
    <w:basedOn w:val="1"/>
    <w:link w:val="53"/>
    <w:qFormat/>
    <w:uiPriority w:val="0"/>
    <w:pPr>
      <w:autoSpaceDE w:val="0"/>
      <w:autoSpaceDN w:val="0"/>
      <w:adjustRightInd w:val="0"/>
      <w:ind w:left="1080"/>
      <w:textAlignment w:val="baseline"/>
    </w:pPr>
    <w:rPr>
      <w:sz w:val="21"/>
    </w:rPr>
  </w:style>
  <w:style w:type="paragraph" w:styleId="22">
    <w:name w:val="Balloon Text"/>
    <w:basedOn w:val="1"/>
    <w:qFormat/>
    <w:uiPriority w:val="0"/>
    <w:rPr>
      <w:sz w:val="18"/>
      <w:szCs w:val="18"/>
    </w:rPr>
  </w:style>
  <w:style w:type="paragraph" w:styleId="23">
    <w:name w:val="footer"/>
    <w:basedOn w:val="1"/>
    <w:link w:val="47"/>
    <w:qFormat/>
    <w:uiPriority w:val="99"/>
    <w:pPr>
      <w:tabs>
        <w:tab w:val="center" w:pos="4153"/>
        <w:tab w:val="right" w:pos="8306"/>
      </w:tabs>
      <w:adjustRightInd w:val="0"/>
      <w:spacing w:line="240" w:lineRule="atLeast"/>
      <w:jc w:val="left"/>
      <w:textAlignment w:val="baseline"/>
    </w:pPr>
    <w:rPr>
      <w:kern w:val="0"/>
      <w:sz w:val="18"/>
    </w:rPr>
  </w:style>
  <w:style w:type="paragraph" w:styleId="24">
    <w:name w:val="header"/>
    <w:basedOn w:val="1"/>
    <w:link w:val="5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25">
    <w:name w:val="toc 1"/>
    <w:basedOn w:val="1"/>
    <w:next w:val="1"/>
    <w:qFormat/>
    <w:uiPriority w:val="39"/>
  </w:style>
  <w:style w:type="paragraph" w:styleId="26">
    <w:name w:val="toc 4"/>
    <w:basedOn w:val="1"/>
    <w:next w:val="1"/>
    <w:qFormat/>
    <w:uiPriority w:val="0"/>
    <w:pPr>
      <w:ind w:left="1260" w:leftChars="600"/>
    </w:pPr>
  </w:style>
  <w:style w:type="paragraph" w:styleId="27">
    <w:name w:val="toc 6"/>
    <w:basedOn w:val="1"/>
    <w:next w:val="1"/>
    <w:qFormat/>
    <w:uiPriority w:val="0"/>
    <w:pPr>
      <w:ind w:left="2100" w:leftChars="1000"/>
    </w:pPr>
  </w:style>
  <w:style w:type="paragraph" w:styleId="28">
    <w:name w:val="Body Text Indent 3"/>
    <w:basedOn w:val="1"/>
    <w:link w:val="54"/>
    <w:qFormat/>
    <w:uiPriority w:val="0"/>
    <w:pPr>
      <w:tabs>
        <w:tab w:val="left" w:pos="600"/>
      </w:tabs>
      <w:ind w:firstLine="420"/>
    </w:pPr>
  </w:style>
  <w:style w:type="paragraph" w:styleId="29">
    <w:name w:val="toc 2"/>
    <w:basedOn w:val="1"/>
    <w:next w:val="1"/>
    <w:qFormat/>
    <w:uiPriority w:val="39"/>
    <w:pPr>
      <w:ind w:left="420" w:leftChars="200"/>
    </w:pPr>
  </w:style>
  <w:style w:type="paragraph" w:styleId="30">
    <w:name w:val="toc 9"/>
    <w:basedOn w:val="1"/>
    <w:next w:val="1"/>
    <w:qFormat/>
    <w:uiPriority w:val="0"/>
    <w:pPr>
      <w:ind w:left="3360" w:leftChars="1600"/>
    </w:pPr>
  </w:style>
  <w:style w:type="paragraph" w:styleId="31">
    <w:name w:val="Body Text 2"/>
    <w:basedOn w:val="1"/>
    <w:link w:val="59"/>
    <w:qFormat/>
    <w:uiPriority w:val="0"/>
    <w:pPr>
      <w:topLinePunct/>
      <w:spacing w:after="120" w:line="480" w:lineRule="auto"/>
    </w:pPr>
    <w:rPr>
      <w:sz w:val="21"/>
    </w:rPr>
  </w:style>
  <w:style w:type="paragraph" w:styleId="32">
    <w:name w:val="index 1"/>
    <w:basedOn w:val="1"/>
    <w:next w:val="1"/>
    <w:qFormat/>
    <w:uiPriority w:val="0"/>
    <w:pPr>
      <w:adjustRightInd w:val="0"/>
      <w:spacing w:line="360" w:lineRule="atLeast"/>
      <w:jc w:val="left"/>
      <w:textAlignment w:val="baseline"/>
    </w:pPr>
    <w:rPr>
      <w:kern w:val="0"/>
    </w:rPr>
  </w:style>
  <w:style w:type="paragraph" w:styleId="33">
    <w:name w:val="annotation subject"/>
    <w:basedOn w:val="13"/>
    <w:next w:val="13"/>
    <w:link w:val="42"/>
    <w:qFormat/>
    <w:uiPriority w:val="0"/>
    <w:rPr>
      <w:b/>
      <w:bCs/>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bCs/>
    </w:rPr>
  </w:style>
  <w:style w:type="character" w:styleId="38">
    <w:name w:val="page number"/>
    <w:basedOn w:val="36"/>
    <w:qFormat/>
    <w:uiPriority w:val="0"/>
    <w:rPr>
      <w:rFonts w:ascii="宋体" w:hAnsi="宋体"/>
      <w:b/>
      <w:color w:val="000000"/>
      <w:sz w:val="24"/>
    </w:rPr>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character" w:customStyle="1" w:styleId="41">
    <w:name w:val="我的正文 Char"/>
    <w:qFormat/>
    <w:uiPriority w:val="0"/>
    <w:rPr>
      <w:rFonts w:ascii="宋体" w:hAnsi="宋体" w:cs="宋体"/>
      <w:color w:val="000000"/>
      <w:sz w:val="24"/>
      <w:szCs w:val="22"/>
      <w:lang w:val="en-US" w:eastAsia="zh-CN" w:bidi="ar-SA"/>
    </w:rPr>
  </w:style>
  <w:style w:type="character" w:customStyle="1" w:styleId="42">
    <w:name w:val="批注主题 字符"/>
    <w:link w:val="33"/>
    <w:qFormat/>
    <w:uiPriority w:val="0"/>
    <w:rPr>
      <w:b/>
      <w:bCs/>
      <w:kern w:val="2"/>
      <w:sz w:val="28"/>
    </w:rPr>
  </w:style>
  <w:style w:type="character" w:customStyle="1" w:styleId="43">
    <w:name w:val="标题 2 字符"/>
    <w:link w:val="5"/>
    <w:qFormat/>
    <w:uiPriority w:val="0"/>
    <w:rPr>
      <w:rFonts w:ascii="宋体" w:hAnsi="宋体" w:eastAsia="宋体"/>
      <w:b/>
      <w:color w:val="000000"/>
      <w:kern w:val="44"/>
      <w:sz w:val="24"/>
    </w:rPr>
  </w:style>
  <w:style w:type="character" w:customStyle="1" w:styleId="44">
    <w:name w:val="标题 5 字符"/>
    <w:link w:val="9"/>
    <w:qFormat/>
    <w:uiPriority w:val="0"/>
    <w:rPr>
      <w:rFonts w:ascii="宋体" w:hAnsi="宋体"/>
      <w:bCs/>
      <w:color w:val="000000"/>
      <w:kern w:val="2"/>
      <w:sz w:val="24"/>
      <w:szCs w:val="28"/>
    </w:rPr>
  </w:style>
  <w:style w:type="character" w:customStyle="1" w:styleId="45">
    <w:name w:val="标题 6 字符"/>
    <w:link w:val="10"/>
    <w:qFormat/>
    <w:uiPriority w:val="0"/>
    <w:rPr>
      <w:rFonts w:ascii="Cambria" w:hAnsi="Cambria"/>
      <w:b/>
      <w:bCs/>
      <w:color w:val="000000"/>
      <w:kern w:val="2"/>
      <w:sz w:val="24"/>
      <w:szCs w:val="24"/>
    </w:rPr>
  </w:style>
  <w:style w:type="character" w:customStyle="1" w:styleId="46">
    <w:name w:val="标题 1 Char1"/>
    <w:qFormat/>
    <w:uiPriority w:val="0"/>
    <w:rPr>
      <w:rFonts w:ascii="汉仪大宋简" w:eastAsia="汉仪大宋简"/>
      <w:kern w:val="28"/>
      <w:sz w:val="22"/>
      <w:lang w:val="en-US" w:eastAsia="zh-CN" w:bidi="ar-SA"/>
    </w:rPr>
  </w:style>
  <w:style w:type="character" w:customStyle="1" w:styleId="47">
    <w:name w:val="页脚 字符"/>
    <w:link w:val="23"/>
    <w:qFormat/>
    <w:uiPriority w:val="99"/>
    <w:rPr>
      <w:sz w:val="18"/>
    </w:rPr>
  </w:style>
  <w:style w:type="character" w:customStyle="1" w:styleId="48">
    <w:name w:val="样式3 Char"/>
    <w:link w:val="49"/>
    <w:qFormat/>
    <w:uiPriority w:val="0"/>
    <w:rPr>
      <w:rFonts w:eastAsia="黑体"/>
      <w:kern w:val="21"/>
      <w:sz w:val="21"/>
      <w:szCs w:val="21"/>
    </w:rPr>
  </w:style>
  <w:style w:type="paragraph" w:customStyle="1" w:styleId="49">
    <w:name w:val="样式3"/>
    <w:basedOn w:val="5"/>
    <w:link w:val="48"/>
    <w:qFormat/>
    <w:uiPriority w:val="0"/>
    <w:pPr>
      <w:keepNext w:val="0"/>
      <w:keepLines w:val="0"/>
      <w:topLinePunct/>
      <w:adjustRightInd/>
      <w:spacing w:before="0" w:after="0" w:line="312" w:lineRule="exact"/>
    </w:pPr>
    <w:rPr>
      <w:rFonts w:ascii="Times New Roman" w:hAnsi="Times New Roman" w:eastAsia="黑体"/>
      <w:b w:val="0"/>
      <w:kern w:val="21"/>
      <w:sz w:val="21"/>
      <w:szCs w:val="21"/>
    </w:rPr>
  </w:style>
  <w:style w:type="character" w:customStyle="1" w:styleId="50">
    <w:name w:val="批注文字 字符"/>
    <w:link w:val="13"/>
    <w:qFormat/>
    <w:uiPriority w:val="0"/>
    <w:rPr>
      <w:kern w:val="2"/>
      <w:sz w:val="28"/>
    </w:rPr>
  </w:style>
  <w:style w:type="character" w:customStyle="1" w:styleId="51">
    <w:name w:val="页眉 字符"/>
    <w:link w:val="24"/>
    <w:qFormat/>
    <w:uiPriority w:val="0"/>
    <w:rPr>
      <w:sz w:val="18"/>
    </w:rPr>
  </w:style>
  <w:style w:type="character" w:customStyle="1" w:styleId="52">
    <w:name w:val="纯文本 字符"/>
    <w:link w:val="18"/>
    <w:qFormat/>
    <w:uiPriority w:val="0"/>
    <w:rPr>
      <w:rFonts w:ascii="宋体" w:hAnsi="Courier New" w:eastAsia="宋体"/>
      <w:b/>
      <w:color w:val="000000"/>
      <w:kern w:val="2"/>
      <w:sz w:val="21"/>
      <w:lang w:val="en-US" w:eastAsia="zh-CN" w:bidi="ar-SA"/>
    </w:rPr>
  </w:style>
  <w:style w:type="character" w:customStyle="1" w:styleId="53">
    <w:name w:val="正文文本缩进 2 字符"/>
    <w:link w:val="21"/>
    <w:qFormat/>
    <w:uiPriority w:val="0"/>
    <w:rPr>
      <w:rFonts w:ascii="宋体" w:hAnsi="宋体"/>
      <w:color w:val="000000"/>
      <w:kern w:val="2"/>
      <w:sz w:val="21"/>
    </w:rPr>
  </w:style>
  <w:style w:type="character" w:customStyle="1" w:styleId="54">
    <w:name w:val="正文文本缩进 3 字符"/>
    <w:link w:val="28"/>
    <w:qFormat/>
    <w:uiPriority w:val="0"/>
    <w:rPr>
      <w:rFonts w:ascii="宋体" w:hAnsi="宋体"/>
      <w:color w:val="000000"/>
      <w:kern w:val="2"/>
      <w:sz w:val="24"/>
    </w:rPr>
  </w:style>
  <w:style w:type="character" w:customStyle="1" w:styleId="55">
    <w:name w:val="样式 标题 1 + 加粗 Char"/>
    <w:link w:val="56"/>
    <w:qFormat/>
    <w:uiPriority w:val="0"/>
    <w:rPr>
      <w:rFonts w:ascii="汉仪大宋简" w:eastAsia="汉仪大宋简"/>
      <w:b/>
      <w:kern w:val="28"/>
      <w:sz w:val="22"/>
    </w:rPr>
  </w:style>
  <w:style w:type="paragraph" w:customStyle="1" w:styleId="56">
    <w:name w:val="样式 标题 1 + 加粗"/>
    <w:basedOn w:val="4"/>
    <w:link w:val="55"/>
    <w:qFormat/>
    <w:uiPriority w:val="0"/>
    <w:pPr>
      <w:adjustRightInd/>
      <w:spacing w:before="312" w:beforeLines="100" w:after="312" w:afterLines="100" w:line="240" w:lineRule="auto"/>
      <w:textAlignment w:val="auto"/>
    </w:pPr>
    <w:rPr>
      <w:rFonts w:ascii="汉仪大宋简" w:hAnsi="Times New Roman" w:eastAsia="汉仪大宋简"/>
      <w:kern w:val="28"/>
      <w:sz w:val="22"/>
    </w:rPr>
  </w:style>
  <w:style w:type="character" w:customStyle="1" w:styleId="57">
    <w:name w:val="表头 Char"/>
    <w:link w:val="58"/>
    <w:qFormat/>
    <w:uiPriority w:val="0"/>
    <w:rPr>
      <w:rFonts w:hAnsi="Monotype Corsiva" w:eastAsia="黑体"/>
      <w:kern w:val="2"/>
      <w:sz w:val="21"/>
      <w:szCs w:val="24"/>
    </w:rPr>
  </w:style>
  <w:style w:type="paragraph" w:customStyle="1" w:styleId="58">
    <w:name w:val="表头"/>
    <w:basedOn w:val="1"/>
    <w:link w:val="57"/>
    <w:qFormat/>
    <w:uiPriority w:val="0"/>
    <w:pPr>
      <w:topLinePunct/>
      <w:spacing w:before="160" w:after="60" w:line="240" w:lineRule="auto"/>
      <w:jc w:val="center"/>
    </w:pPr>
    <w:rPr>
      <w:rFonts w:hAnsi="Monotype Corsiva" w:eastAsia="黑体"/>
      <w:sz w:val="21"/>
      <w:szCs w:val="24"/>
    </w:rPr>
  </w:style>
  <w:style w:type="character" w:customStyle="1" w:styleId="59">
    <w:name w:val="正文文本 2 字符"/>
    <w:link w:val="31"/>
    <w:qFormat/>
    <w:uiPriority w:val="0"/>
    <w:rPr>
      <w:rFonts w:ascii="宋体" w:hAnsi="宋体"/>
      <w:color w:val="000000"/>
      <w:kern w:val="2"/>
      <w:sz w:val="21"/>
    </w:rPr>
  </w:style>
  <w:style w:type="character" w:customStyle="1" w:styleId="60">
    <w:name w:val="标题 1 字符"/>
    <w:link w:val="4"/>
    <w:qFormat/>
    <w:uiPriority w:val="0"/>
    <w:rPr>
      <w:rFonts w:ascii="宋体" w:hAnsi="宋体" w:eastAsia="宋体"/>
      <w:b/>
      <w:kern w:val="44"/>
      <w:sz w:val="32"/>
    </w:rPr>
  </w:style>
  <w:style w:type="character" w:customStyle="1" w:styleId="61">
    <w:name w:val="样式2 Char"/>
    <w:link w:val="62"/>
    <w:qFormat/>
    <w:uiPriority w:val="0"/>
    <w:rPr>
      <w:rFonts w:eastAsia="黑体"/>
      <w:kern w:val="21"/>
      <w:sz w:val="21"/>
      <w:szCs w:val="21"/>
      <w:lang w:val="en-US" w:eastAsia="zh-CN"/>
    </w:rPr>
  </w:style>
  <w:style w:type="paragraph" w:customStyle="1" w:styleId="62">
    <w:name w:val="样式2"/>
    <w:basedOn w:val="4"/>
    <w:link w:val="61"/>
    <w:qFormat/>
    <w:uiPriority w:val="0"/>
    <w:pPr>
      <w:keepNext w:val="0"/>
      <w:keepLines w:val="0"/>
      <w:topLinePunct/>
      <w:adjustRightInd/>
      <w:spacing w:before="0" w:after="0" w:line="240" w:lineRule="auto"/>
    </w:pPr>
    <w:rPr>
      <w:rFonts w:ascii="Times New Roman" w:hAnsi="Times New Roman" w:eastAsia="黑体"/>
      <w:b w:val="0"/>
      <w:kern w:val="21"/>
      <w:sz w:val="21"/>
      <w:szCs w:val="21"/>
    </w:rPr>
  </w:style>
  <w:style w:type="paragraph" w:customStyle="1" w:styleId="63">
    <w:name w:val="我的标题2"/>
    <w:qFormat/>
    <w:uiPriority w:val="0"/>
    <w:pPr>
      <w:tabs>
        <w:tab w:val="left" w:pos="420"/>
        <w:tab w:val="left" w:pos="840"/>
      </w:tabs>
      <w:autoSpaceDE w:val="0"/>
      <w:autoSpaceDN w:val="0"/>
      <w:adjustRightInd w:val="0"/>
      <w:spacing w:line="360" w:lineRule="auto"/>
      <w:ind w:left="840" w:hanging="420"/>
      <w:outlineLvl w:val="1"/>
    </w:pPr>
    <w:rPr>
      <w:rFonts w:ascii="宋体" w:hAnsi="宋体" w:eastAsia="宋体" w:cs="宋体"/>
      <w:color w:val="000000"/>
      <w:sz w:val="24"/>
      <w:szCs w:val="22"/>
      <w:lang w:val="en-US" w:eastAsia="zh-CN" w:bidi="ar-SA"/>
    </w:rPr>
  </w:style>
  <w:style w:type="paragraph" w:customStyle="1" w:styleId="64">
    <w:name w:val="Char Char Char"/>
    <w:basedOn w:val="1"/>
    <w:qFormat/>
    <w:uiPriority w:val="0"/>
    <w:pPr>
      <w:pageBreakBefore/>
      <w:tabs>
        <w:tab w:val="left" w:pos="432"/>
      </w:tabs>
      <w:ind w:left="432" w:hanging="432"/>
    </w:pPr>
    <w:rPr>
      <w:rFonts w:ascii="Tahoma" w:hAnsi="Tahoma"/>
    </w:rPr>
  </w:style>
  <w:style w:type="paragraph" w:customStyle="1" w:styleId="65">
    <w:name w:val="样式 标题 2 + 段前: 0.5 行"/>
    <w:basedOn w:val="5"/>
    <w:next w:val="1"/>
    <w:qFormat/>
    <w:uiPriority w:val="0"/>
    <w:pPr>
      <w:tabs>
        <w:tab w:val="left" w:pos="1134"/>
      </w:tabs>
      <w:adjustRightInd/>
      <w:spacing w:before="156" w:beforeLines="50" w:after="0" w:line="240" w:lineRule="auto"/>
      <w:ind w:left="1134" w:hanging="1134"/>
      <w:textAlignment w:val="auto"/>
    </w:pPr>
    <w:rPr>
      <w:rFonts w:ascii="Arial" w:hAnsi="Arial" w:cs="宋体"/>
      <w:bCs/>
      <w:kern w:val="2"/>
    </w:rPr>
  </w:style>
  <w:style w:type="paragraph" w:customStyle="1" w:styleId="66">
    <w:name w:val="默认段落字体 Para Char Char Char Char"/>
    <w:basedOn w:val="1"/>
    <w:semiHidden/>
    <w:qFormat/>
    <w:uiPriority w:val="0"/>
    <w:rPr>
      <w:rFonts w:ascii="宋体" w:hAnsi="宋体"/>
      <w:b/>
      <w:color w:val="000000"/>
    </w:rPr>
  </w:style>
  <w:style w:type="paragraph" w:customStyle="1" w:styleId="67">
    <w:name w:val="标题 3 + 小四 段前: 0 磅 段后: 0 磅 行距: 1.5 倍行距"/>
    <w:basedOn w:val="6"/>
    <w:next w:val="6"/>
    <w:qFormat/>
    <w:uiPriority w:val="0"/>
    <w:pPr>
      <w:adjustRightInd/>
      <w:spacing w:before="0" w:after="0"/>
      <w:textAlignment w:val="auto"/>
    </w:pPr>
    <w:rPr>
      <w:rFonts w:ascii="Times New Roman"/>
      <w:kern w:val="2"/>
    </w:rPr>
  </w:style>
  <w:style w:type="paragraph" w:customStyle="1" w:styleId="68">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69">
    <w:name w:val="1.1.1"/>
    <w:basedOn w:val="1"/>
    <w:qFormat/>
    <w:uiPriority w:val="0"/>
    <w:pPr>
      <w:tabs>
        <w:tab w:val="left" w:pos="540"/>
      </w:tabs>
      <w:autoSpaceDE w:val="0"/>
      <w:autoSpaceDN w:val="0"/>
      <w:adjustRightInd w:val="0"/>
      <w:ind w:left="1278" w:hanging="1278"/>
    </w:pPr>
    <w:rPr>
      <w:rFonts w:ascii="黑体" w:hAnsi="宋体" w:eastAsia="黑体"/>
      <w:kern w:val="0"/>
      <w:sz w:val="28"/>
      <w:szCs w:val="28"/>
    </w:rPr>
  </w:style>
  <w:style w:type="paragraph" w:customStyle="1" w:styleId="70">
    <w:name w:val="Char"/>
    <w:basedOn w:val="1"/>
    <w:qFormat/>
    <w:uiPriority w:val="0"/>
    <w:pPr>
      <w:widowControl/>
      <w:spacing w:after="160" w:line="240" w:lineRule="exact"/>
      <w:jc w:val="left"/>
    </w:pPr>
    <w:rPr>
      <w:rFonts w:ascii="Verdana" w:hAnsi="Verdana"/>
      <w:kern w:val="0"/>
      <w:sz w:val="20"/>
      <w:lang w:eastAsia="en-US"/>
    </w:rPr>
  </w:style>
  <w:style w:type="paragraph" w:customStyle="1" w:styleId="71">
    <w:name w:val="Char Char Char Char Char Char Char"/>
    <w:basedOn w:val="1"/>
    <w:semiHidden/>
    <w:qFormat/>
    <w:uiPriority w:val="0"/>
  </w:style>
  <w:style w:type="paragraph" w:customStyle="1" w:styleId="72">
    <w:name w:val="Char Char Char1"/>
    <w:basedOn w:val="1"/>
    <w:qFormat/>
    <w:uiPriority w:val="0"/>
    <w:pPr>
      <w:pageBreakBefore/>
      <w:tabs>
        <w:tab w:val="left" w:pos="432"/>
      </w:tabs>
      <w:ind w:left="432" w:hanging="432"/>
    </w:pPr>
    <w:rPr>
      <w:rFonts w:ascii="Tahoma" w:hAnsi="Tahoma"/>
    </w:rPr>
  </w:style>
  <w:style w:type="paragraph" w:customStyle="1" w:styleId="73">
    <w:name w:val="样式7"/>
    <w:basedOn w:val="1"/>
    <w:qFormat/>
    <w:uiPriority w:val="0"/>
    <w:pPr>
      <w:snapToGrid w:val="0"/>
    </w:pPr>
  </w:style>
  <w:style w:type="paragraph" w:customStyle="1" w:styleId="74">
    <w:name w:val="Char Char"/>
    <w:basedOn w:val="1"/>
    <w:qFormat/>
    <w:uiPriority w:val="0"/>
    <w:pPr>
      <w:spacing w:line="240" w:lineRule="auto"/>
    </w:pPr>
    <w:rPr>
      <w:sz w:val="21"/>
      <w:szCs w:val="24"/>
    </w:rPr>
  </w:style>
  <w:style w:type="paragraph" w:customStyle="1" w:styleId="75">
    <w:name w:val="00正文"/>
    <w:basedOn w:val="1"/>
    <w:qFormat/>
    <w:uiPriority w:val="0"/>
    <w:pPr>
      <w:ind w:firstLine="200" w:firstLineChars="200"/>
    </w:pPr>
    <w:rPr>
      <w:rFonts w:hAnsi="宋体" w:cs="黑体"/>
    </w:rPr>
  </w:style>
  <w:style w:type="paragraph" w:customStyle="1" w:styleId="76">
    <w:name w:val="表内文字"/>
    <w:basedOn w:val="14"/>
    <w:qFormat/>
    <w:uiPriority w:val="0"/>
    <w:pPr>
      <w:tabs>
        <w:tab w:val="left" w:pos="0"/>
        <w:tab w:val="left" w:pos="1134"/>
      </w:tabs>
      <w:spacing w:before="120" w:line="240" w:lineRule="auto"/>
      <w:jc w:val="center"/>
      <w:textAlignment w:val="baseline"/>
    </w:pPr>
    <w:rPr>
      <w:rFonts w:ascii="Arial" w:hAnsi="Arial" w:eastAsia="楷体_GB2312"/>
      <w:kern w:val="0"/>
      <w:szCs w:val="20"/>
    </w:rPr>
  </w:style>
  <w:style w:type="paragraph" w:customStyle="1" w:styleId="7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78">
    <w:name w:val="Char11"/>
    <w:basedOn w:val="1"/>
    <w:qFormat/>
    <w:uiPriority w:val="0"/>
    <w:rPr>
      <w:szCs w:val="24"/>
    </w:rPr>
  </w:style>
  <w:style w:type="paragraph" w:customStyle="1" w:styleId="79">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80">
    <w:name w:val="默认段落字体 Para Char Char Char Char Char"/>
    <w:basedOn w:val="1"/>
    <w:qFormat/>
    <w:uiPriority w:val="0"/>
    <w:rPr>
      <w:rFonts w:ascii="宋体" w:hAnsi="宋体"/>
      <w:b/>
      <w:color w:val="000000"/>
    </w:rPr>
  </w:style>
  <w:style w:type="paragraph" w:customStyle="1" w:styleId="81">
    <w:name w:val="jl 正文"/>
    <w:basedOn w:val="1"/>
    <w:semiHidden/>
    <w:qFormat/>
    <w:uiPriority w:val="0"/>
    <w:pPr>
      <w:autoSpaceDE w:val="0"/>
      <w:autoSpaceDN w:val="0"/>
      <w:adjustRightInd w:val="0"/>
      <w:ind w:firstLine="200" w:firstLineChars="200"/>
      <w:jc w:val="left"/>
      <w:textAlignment w:val="baseline"/>
    </w:pPr>
    <w:rPr>
      <w:rFonts w:ascii="宋体"/>
      <w:kern w:val="0"/>
    </w:rPr>
  </w:style>
  <w:style w:type="paragraph" w:customStyle="1" w:styleId="82">
    <w:name w:val="我的标题1"/>
    <w:qFormat/>
    <w:uiPriority w:val="0"/>
    <w:pPr>
      <w:numPr>
        <w:ilvl w:val="0"/>
        <w:numId w:val="1"/>
      </w:numPr>
      <w:tabs>
        <w:tab w:val="left" w:pos="3700"/>
      </w:tabs>
      <w:autoSpaceDE w:val="0"/>
      <w:autoSpaceDN w:val="0"/>
      <w:adjustRightInd w:val="0"/>
      <w:spacing w:line="360" w:lineRule="auto"/>
      <w:outlineLvl w:val="0"/>
    </w:pPr>
    <w:rPr>
      <w:rFonts w:ascii="宋体" w:hAnsi="宋体" w:eastAsia="宋体" w:cs="宋体"/>
      <w:color w:val="000000"/>
      <w:sz w:val="24"/>
      <w:szCs w:val="22"/>
      <w:lang w:val="en-US" w:eastAsia="zh-CN" w:bidi="ar-SA"/>
    </w:rPr>
  </w:style>
  <w:style w:type="paragraph" w:customStyle="1" w:styleId="83">
    <w:name w:val="正文2"/>
    <w:basedOn w:val="1"/>
    <w:qFormat/>
    <w:uiPriority w:val="0"/>
    <w:pPr>
      <w:topLinePunct/>
      <w:spacing w:line="360" w:lineRule="exact"/>
      <w:ind w:left="200" w:leftChars="200"/>
    </w:pPr>
  </w:style>
  <w:style w:type="paragraph" w:customStyle="1" w:styleId="84">
    <w:name w:val="Char Char Char Char"/>
    <w:basedOn w:val="1"/>
    <w:qFormat/>
    <w:uiPriority w:val="0"/>
    <w:pPr>
      <w:spacing w:line="240" w:lineRule="auto"/>
    </w:pPr>
    <w:rPr>
      <w:sz w:val="21"/>
      <w:szCs w:val="24"/>
    </w:rPr>
  </w:style>
  <w:style w:type="paragraph" w:customStyle="1" w:styleId="85">
    <w:name w:val="附录"/>
    <w:basedOn w:val="4"/>
    <w:qFormat/>
    <w:uiPriority w:val="0"/>
    <w:pPr>
      <w:topLinePunct/>
      <w:adjustRightInd/>
      <w:spacing w:before="0" w:after="0" w:line="960" w:lineRule="auto"/>
      <w:ind w:firstLine="420"/>
      <w:jc w:val="center"/>
    </w:pPr>
    <w:rPr>
      <w:rFonts w:ascii="Times New Roman" w:hAnsi="Times New Roman" w:eastAsia="黑体"/>
      <w:b w:val="0"/>
      <w:sz w:val="28"/>
    </w:rPr>
  </w:style>
  <w:style w:type="paragraph" w:customStyle="1" w:styleId="86">
    <w:name w:val="00正文标题"/>
    <w:basedOn w:val="75"/>
    <w:qFormat/>
    <w:uiPriority w:val="0"/>
    <w:pPr>
      <w:ind w:firstLine="199" w:firstLineChars="83"/>
    </w:pPr>
    <w:rPr>
      <w:rFonts w:cs="Arial"/>
      <w:szCs w:val="24"/>
    </w:rPr>
  </w:style>
  <w:style w:type="paragraph" w:customStyle="1" w:styleId="87">
    <w:name w:val="样式 标题 1 + 首行缩进:  2 字符 段前: 1 行 段后: 1 行"/>
    <w:basedOn w:val="4"/>
    <w:qFormat/>
    <w:uiPriority w:val="0"/>
    <w:pPr>
      <w:adjustRightInd/>
      <w:spacing w:before="312" w:beforeLines="100" w:after="312" w:afterLines="100" w:line="240" w:lineRule="auto"/>
      <w:textAlignment w:val="auto"/>
    </w:pPr>
    <w:rPr>
      <w:rFonts w:ascii="Times New Roman" w:hAnsi="Times New Roman" w:eastAsia="黑体"/>
      <w:b w:val="0"/>
      <w:sz w:val="28"/>
    </w:rPr>
  </w:style>
  <w:style w:type="paragraph" w:styleId="88">
    <w:name w:val="List Paragraph"/>
    <w:basedOn w:val="1"/>
    <w:qFormat/>
    <w:uiPriority w:val="0"/>
    <w:pPr>
      <w:widowControl/>
      <w:ind w:firstLine="420" w:firstLineChars="200"/>
      <w:jc w:val="left"/>
    </w:pPr>
    <w:rPr>
      <w:rFonts w:ascii="宋体" w:hAnsi="宋体" w:cs="宋体"/>
      <w:kern w:val="0"/>
      <w:szCs w:val="24"/>
    </w:rPr>
  </w:style>
  <w:style w:type="paragraph" w:customStyle="1" w:styleId="89">
    <w:name w:val="样式1"/>
    <w:basedOn w:val="1"/>
    <w:qFormat/>
    <w:uiPriority w:val="0"/>
    <w:pPr>
      <w:adjustRightInd w:val="0"/>
      <w:spacing w:line="420" w:lineRule="auto"/>
      <w:jc w:val="center"/>
      <w:textAlignment w:val="baseline"/>
    </w:pPr>
    <w:rPr>
      <w:rFonts w:ascii="宋体"/>
      <w:kern w:val="0"/>
    </w:rPr>
  </w:style>
  <w:style w:type="paragraph" w:customStyle="1" w:styleId="90">
    <w:name w:val="样式6"/>
    <w:basedOn w:val="1"/>
    <w:qFormat/>
    <w:uiPriority w:val="0"/>
    <w:pPr>
      <w:topLinePunct/>
      <w:spacing w:before="160" w:after="60"/>
      <w:jc w:val="center"/>
    </w:pPr>
    <w:rPr>
      <w:rFonts w:eastAsia="黑体"/>
      <w:szCs w:val="21"/>
    </w:rPr>
  </w:style>
  <w:style w:type="paragraph" w:customStyle="1" w:styleId="91">
    <w:name w:val="Char Char Char Char Char Char Char Char Char"/>
    <w:basedOn w:val="1"/>
    <w:qFormat/>
    <w:uiPriority w:val="0"/>
    <w:pPr>
      <w:ind w:firstLine="200" w:firstLineChars="200"/>
    </w:pPr>
    <w:rPr>
      <w:kern w:val="0"/>
      <w:sz w:val="20"/>
    </w:rPr>
  </w:style>
  <w:style w:type="paragraph" w:customStyle="1" w:styleId="92">
    <w:name w:val="正文格式"/>
    <w:basedOn w:val="1"/>
    <w:qFormat/>
    <w:uiPriority w:val="0"/>
    <w:pPr>
      <w:topLinePunct/>
      <w:spacing w:line="240" w:lineRule="auto"/>
      <w:ind w:firstLine="420" w:firstLineChars="200"/>
    </w:pPr>
    <w:rPr>
      <w:rFonts w:ascii="宋体" w:hAnsi="宋体"/>
      <w:sz w:val="21"/>
    </w:rPr>
  </w:style>
  <w:style w:type="paragraph" w:customStyle="1" w:styleId="93">
    <w:name w:val="表文"/>
    <w:basedOn w:val="1"/>
    <w:qFormat/>
    <w:uiPriority w:val="0"/>
    <w:pPr>
      <w:topLinePunct/>
      <w:spacing w:before="40" w:after="40" w:line="240" w:lineRule="auto"/>
    </w:pPr>
    <w:rPr>
      <w:sz w:val="18"/>
    </w:rPr>
  </w:style>
  <w:style w:type="paragraph" w:customStyle="1" w:styleId="94">
    <w:name w:val="1.1.1.1"/>
    <w:basedOn w:val="1"/>
    <w:qFormat/>
    <w:uiPriority w:val="0"/>
    <w:pPr>
      <w:tabs>
        <w:tab w:val="left" w:pos="1134"/>
      </w:tabs>
      <w:adjustRightInd w:val="0"/>
      <w:spacing w:before="60" w:after="60" w:line="360" w:lineRule="atLeast"/>
      <w:ind w:left="1134" w:hanging="1134"/>
      <w:textAlignment w:val="baseline"/>
    </w:pPr>
    <w:rPr>
      <w:rFonts w:ascii="Arial" w:hAnsi="Arial"/>
      <w:kern w:val="0"/>
      <w:sz w:val="21"/>
    </w:rPr>
  </w:style>
  <w:style w:type="paragraph" w:customStyle="1" w:styleId="95">
    <w:name w:val="Char1"/>
    <w:basedOn w:val="1"/>
    <w:qFormat/>
    <w:uiPriority w:val="0"/>
    <w:pPr>
      <w:spacing w:line="240" w:lineRule="auto"/>
    </w:pPr>
    <w:rPr>
      <w:sz w:val="21"/>
      <w:szCs w:val="24"/>
    </w:rPr>
  </w:style>
  <w:style w:type="paragraph" w:customStyle="1" w:styleId="96">
    <w:name w:val="样式 样式 标题 2 + 段前: 0.5 行 段后: 0.5 行 + 首行缩进:  2 字符 段前: 0.5 行 段后: 0..."/>
    <w:basedOn w:val="97"/>
    <w:qFormat/>
    <w:uiPriority w:val="0"/>
    <w:pPr>
      <w:spacing w:before="50" w:beforeLines="0" w:after="50" w:afterLines="0"/>
      <w:ind w:firstLine="0" w:firstLineChars="0"/>
    </w:pPr>
  </w:style>
  <w:style w:type="paragraph" w:customStyle="1" w:styleId="97">
    <w:name w:val="样式 标题 2 + 段前: 0.5 行 段后: 0.5 行"/>
    <w:basedOn w:val="5"/>
    <w:qFormat/>
    <w:uiPriority w:val="0"/>
    <w:pPr>
      <w:spacing w:before="156" w:beforeLines="50" w:after="156" w:afterLines="50" w:line="240" w:lineRule="auto"/>
      <w:ind w:firstLine="200" w:firstLineChars="200"/>
      <w:jc w:val="left"/>
    </w:pPr>
    <w:rPr>
      <w:rFonts w:ascii="Times New Roman" w:hAnsi="Times New Roman" w:eastAsia="黑体"/>
      <w:b w:val="0"/>
      <w:kern w:val="0"/>
      <w:sz w:val="21"/>
    </w:rPr>
  </w:style>
  <w:style w:type="paragraph" w:customStyle="1" w:styleId="98">
    <w:name w:val="样式 我的正文 + 左侧:  2 字符 首行缩进:  2 字符"/>
    <w:basedOn w:val="1"/>
    <w:qFormat/>
    <w:uiPriority w:val="0"/>
    <w:pPr>
      <w:widowControl/>
      <w:autoSpaceDE w:val="0"/>
      <w:autoSpaceDN w:val="0"/>
      <w:adjustRightInd w:val="0"/>
      <w:ind w:left="200" w:leftChars="200" w:firstLine="200" w:firstLineChars="200"/>
      <w:jc w:val="left"/>
    </w:pPr>
    <w:rPr>
      <w:rFonts w:ascii="宋体" w:hAnsi="宋体" w:cs="宋体"/>
      <w:color w:val="000000"/>
      <w:kern w:val="0"/>
    </w:rPr>
  </w:style>
  <w:style w:type="paragraph" w:customStyle="1" w:styleId="99">
    <w:name w:val="列出段落1"/>
    <w:basedOn w:val="1"/>
    <w:qFormat/>
    <w:uiPriority w:val="0"/>
    <w:pPr>
      <w:widowControl/>
      <w:ind w:firstLine="420" w:firstLineChars="200"/>
      <w:jc w:val="left"/>
    </w:pPr>
    <w:rPr>
      <w:rFonts w:ascii="宋体" w:hAnsi="宋体" w:cs="宋体"/>
      <w:kern w:val="0"/>
      <w:szCs w:val="24"/>
    </w:rPr>
  </w:style>
  <w:style w:type="paragraph" w:customStyle="1" w:styleId="100">
    <w:name w:val="wang正文"/>
    <w:basedOn w:val="1"/>
    <w:qFormat/>
    <w:uiPriority w:val="0"/>
    <w:pPr>
      <w:tabs>
        <w:tab w:val="left" w:pos="6840"/>
      </w:tabs>
      <w:topLinePunct/>
      <w:spacing w:line="240" w:lineRule="auto"/>
      <w:ind w:firstLine="420"/>
    </w:pPr>
    <w:rPr>
      <w:sz w:val="21"/>
    </w:rPr>
  </w:style>
  <w:style w:type="paragraph" w:customStyle="1" w:styleId="101">
    <w:name w:val="NN"/>
    <w:basedOn w:val="1"/>
    <w:qFormat/>
    <w:uiPriority w:val="0"/>
    <w:pPr>
      <w:tabs>
        <w:tab w:val="left" w:pos="1080"/>
      </w:tabs>
      <w:autoSpaceDE w:val="0"/>
      <w:autoSpaceDN w:val="0"/>
      <w:adjustRightInd w:val="0"/>
      <w:spacing w:before="60" w:after="60" w:line="360" w:lineRule="atLeast"/>
      <w:ind w:left="1134"/>
    </w:pPr>
    <w:rPr>
      <w:rFonts w:ascii="宋体"/>
      <w:kern w:val="0"/>
    </w:rPr>
  </w:style>
  <w:style w:type="paragraph" w:customStyle="1" w:styleId="102">
    <w:name w:val="列项——"/>
    <w:qFormat/>
    <w:uiPriority w:val="0"/>
    <w:pPr>
      <w:widowControl w:val="0"/>
      <w:numPr>
        <w:ilvl w:val="0"/>
        <w:numId w:val="2"/>
      </w:numPr>
      <w:tabs>
        <w:tab w:val="left" w:pos="1080"/>
      </w:tabs>
      <w:spacing w:line="360" w:lineRule="auto"/>
      <w:jc w:val="both"/>
    </w:pPr>
    <w:rPr>
      <w:rFonts w:ascii="宋体" w:hAnsi="宋体" w:eastAsia="宋体" w:cs="Times New Roman"/>
      <w:sz w:val="21"/>
      <w:lang w:val="en-US" w:eastAsia="zh-CN" w:bidi="ar-SA"/>
    </w:rPr>
  </w:style>
  <w:style w:type="paragraph" w:customStyle="1" w:styleId="103">
    <w:name w:val="表格"/>
    <w:basedOn w:val="1"/>
    <w:qFormat/>
    <w:uiPriority w:val="0"/>
    <w:pPr>
      <w:snapToGrid w:val="0"/>
      <w:spacing w:line="240" w:lineRule="atLeast"/>
    </w:pPr>
    <w:rPr>
      <w:snapToGrid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49</Pages>
  <Words>5390</Words>
  <Characters>30726</Characters>
  <Lines>256</Lines>
  <Paragraphs>72</Paragraphs>
  <TotalTime>0</TotalTime>
  <ScaleCrop>false</ScaleCrop>
  <LinksUpToDate>false</LinksUpToDate>
  <CharactersWithSpaces>36044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2023-05-30T07:48:00Z</dcterms:created>
  <dc:creator>LSK</dc:creator>
  <cp:keywords>Birthday</cp:keywords>
  <cp:lastModifiedBy>吕涑琦</cp:lastModifiedBy>
  <cp:lastPrinted>2016-06-21T07:28:00Z</cp:lastPrinted>
  <dcterms:modified xsi:type="dcterms:W3CDTF">2023-05-30T07:51:20Z</dcterms:modified>
  <dc:subject>Birthday</dc:subject>
  <dc:title>Are You suprised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15998D73A8E44BCC99C788A771DBB23F_12</vt:lpwstr>
  </property>
</Properties>
</file>