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某县人民医院二医疗区能力提升项目采购清单</w:t>
      </w:r>
      <w:bookmarkStart w:id="0" w:name="_GoBack"/>
      <w:bookmarkEnd w:id="0"/>
    </w:p>
    <w:tbl>
      <w:tblPr>
        <w:tblStyle w:val="2"/>
        <w:tblW w:w="49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412"/>
        <w:gridCol w:w="705"/>
        <w:gridCol w:w="705"/>
        <w:gridCol w:w="1524"/>
        <w:gridCol w:w="1117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高端四维多普勒超声诊断仪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1998000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1998000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具备三维实时成像，配置4把探头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同时具备尿干化学及尿有形成分一体化检测功能，恒速≥60测试/小时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全自动化学发光测定仪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速度≥200测试/小时，可最多支持4台同品牌设备联机开展实验；试剂种类：≥95种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水浴箱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震荡仪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操作台（带水池）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操作台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血糖测试仪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测量范围：1.1～33.3 mmol/L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吸痰器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氧气接口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浮标式氧气吸入器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导尿包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一次性使用导尿包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抢救床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背部升降，护栏升降，氧气瓶支架，整体升降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治疗柜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治疗车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抢救车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平车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铲式担架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急救包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床旁椅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轮椅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输液架（或挂顶输液挂钩）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支持3导联和5导联监护，1～6通道ECG波形同步显示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除颤仪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可除颤的阻抗范围：20Ω～200Ω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具有提手，便携式设计,设备应适合院前、院内急救及病人转运需求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适用于符合国家标准的输液器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简易呼吸器（球囊）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SI成人型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注射泵（单通）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可自动识别5 mL 、10mL、20mL、30mL、50mL的注射器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注射泵（双通）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注射器规格：10mL、20mL、30mL、50/60mL普通注射器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喉镜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成人光纤喉镜，符合国标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治疗盘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11.5寸不锈钢治疗盘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无菌盘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缝合床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无影灯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色温：4000±500K，照度：≥10000LUX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屏风（隔帘）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治疗柜4.1米分2组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治疗柜2.5米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83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预算总价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2798870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MTFiMDNjMmQxMzdkMzU5NTdiNGM1YjZjYWE3NWUifQ=="/>
  </w:docVars>
  <w:rsids>
    <w:rsidRoot w:val="4E2A51F6"/>
    <w:rsid w:val="17257CBF"/>
    <w:rsid w:val="4E2A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1075</Characters>
  <Lines>0</Lines>
  <Paragraphs>0</Paragraphs>
  <TotalTime>15</TotalTime>
  <ScaleCrop>false</ScaleCrop>
  <LinksUpToDate>false</LinksUpToDate>
  <CharactersWithSpaces>1078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2023-07-14T00:56:00Z</dcterms:created>
  <dc:creator>风清云淡</dc:creator>
  <cp:lastModifiedBy>风清云淡</cp:lastModifiedBy>
  <dcterms:modified xsi:type="dcterms:W3CDTF">2023-07-14T01:33:35Z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363883EDFFBB4F03BC2A3151D98A905F_11</vt:lpwstr>
  </property>
</Properties>
</file>